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1EC52" w14:textId="14767F3E" w:rsidR="00156D62" w:rsidRDefault="00896618" w:rsidP="00156D62">
      <w:r>
        <w:t xml:space="preserve">Responses to additional benchmarking questions submitted in the Spring of 2023.  All responses reflect the status of June </w:t>
      </w:r>
      <w:r w:rsidR="00D01A60">
        <w:t>2</w:t>
      </w:r>
      <w:r w:rsidR="00D01A60" w:rsidRPr="00D01A60">
        <w:rPr>
          <w:vertAlign w:val="superscript"/>
        </w:rPr>
        <w:t>nd</w:t>
      </w:r>
      <w:r w:rsidR="00D01A60">
        <w:t xml:space="preserve">, </w:t>
      </w:r>
      <w:r>
        <w:t>2023.</w:t>
      </w:r>
    </w:p>
    <w:p w14:paraId="64B07E54" w14:textId="77777777" w:rsidR="00896618" w:rsidRDefault="00896618" w:rsidP="00156D62"/>
    <w:p w14:paraId="2B33D06B" w14:textId="3CFC1903" w:rsidR="00156D62" w:rsidRDefault="00156D62" w:rsidP="00156D62">
      <w:pPr>
        <w:pStyle w:val="ListParagraph"/>
        <w:numPr>
          <w:ilvl w:val="0"/>
          <w:numId w:val="1"/>
        </w:numPr>
        <w:rPr>
          <w:rFonts w:eastAsia="Times New Roman"/>
        </w:rPr>
      </w:pPr>
      <w:r>
        <w:rPr>
          <w:rFonts w:eastAsia="Times New Roman"/>
        </w:rPr>
        <w:t>Can the staff provide trended results for attainment for 2018 – 2021 by year for both Medicare and Commercial benchmarks?</w:t>
      </w:r>
    </w:p>
    <w:p w14:paraId="2E586108" w14:textId="45B30DA3" w:rsidR="00693879" w:rsidRDefault="00693879" w:rsidP="00693879">
      <w:pPr>
        <w:rPr>
          <w:rFonts w:eastAsia="Times New Roman"/>
        </w:rPr>
      </w:pPr>
    </w:p>
    <w:p w14:paraId="011F0527" w14:textId="4AA6E7FF" w:rsidR="00693879" w:rsidRPr="00693879" w:rsidRDefault="00693879" w:rsidP="00693879">
      <w:pPr>
        <w:ind w:left="720"/>
        <w:rPr>
          <w:rFonts w:eastAsia="Times New Roman"/>
          <w:color w:val="4F81BD" w:themeColor="accent1"/>
        </w:rPr>
      </w:pPr>
      <w:r w:rsidRPr="00693879">
        <w:rPr>
          <w:rFonts w:eastAsia="Times New Roman"/>
          <w:color w:val="4F81BD" w:themeColor="accent1"/>
        </w:rPr>
        <w:t>We anticipate including files in the 2021 release that will include this capability.</w:t>
      </w:r>
      <w:r w:rsidR="00994B76">
        <w:rPr>
          <w:rFonts w:eastAsia="Times New Roman"/>
          <w:color w:val="4F81BD" w:themeColor="accent1"/>
        </w:rPr>
        <w:t xml:space="preserve"> 2021 data will be released during summer 2022.</w:t>
      </w:r>
    </w:p>
    <w:p w14:paraId="355C0E6F" w14:textId="77777777" w:rsidR="00693879" w:rsidRPr="00693879" w:rsidRDefault="00693879" w:rsidP="00693879">
      <w:pPr>
        <w:rPr>
          <w:rFonts w:eastAsia="Times New Roman"/>
        </w:rPr>
      </w:pPr>
    </w:p>
    <w:p w14:paraId="7DCF6F69" w14:textId="77777777" w:rsidR="00156D62" w:rsidRPr="00693879" w:rsidRDefault="00156D62" w:rsidP="00156D62">
      <w:pPr>
        <w:pStyle w:val="ListParagraph"/>
        <w:numPr>
          <w:ilvl w:val="0"/>
          <w:numId w:val="1"/>
        </w:numPr>
        <w:rPr>
          <w:rFonts w:eastAsia="Times New Roman"/>
        </w:rPr>
      </w:pPr>
      <w:r>
        <w:rPr>
          <w:rFonts w:eastAsia="Times New Roman"/>
        </w:rPr>
        <w:t xml:space="preserve">Can the staff provide growth in TCOC from 2013 – 2022 (or most recent available) by year? </w:t>
      </w:r>
      <w:r>
        <w:t>This would allow hospitals to see if the attainment is providing credit to hospitals who have had improvement.</w:t>
      </w:r>
    </w:p>
    <w:p w14:paraId="211CBE34" w14:textId="77777777" w:rsidR="00693879" w:rsidRDefault="00693879" w:rsidP="00693879">
      <w:pPr>
        <w:rPr>
          <w:rFonts w:eastAsia="Times New Roman"/>
        </w:rPr>
      </w:pPr>
    </w:p>
    <w:p w14:paraId="405ED095" w14:textId="3021C180" w:rsidR="00693879" w:rsidRPr="00A43FCC" w:rsidRDefault="00693879" w:rsidP="00693879">
      <w:pPr>
        <w:ind w:left="720"/>
        <w:rPr>
          <w:rFonts w:eastAsia="Times New Roman"/>
          <w:color w:val="4F81BD" w:themeColor="accent1"/>
        </w:rPr>
      </w:pPr>
      <w:r w:rsidRPr="00A43FCC">
        <w:rPr>
          <w:rFonts w:eastAsia="Times New Roman"/>
          <w:color w:val="4F81BD" w:themeColor="accent1"/>
        </w:rPr>
        <w:t xml:space="preserve">We do not have commercial data prior to 2018.     The attached file </w:t>
      </w:r>
      <w:r w:rsidR="003E4D2B" w:rsidRPr="00A43FCC">
        <w:rPr>
          <w:rFonts w:eastAsia="Times New Roman"/>
          <w:color w:val="4F81BD" w:themeColor="accent1"/>
        </w:rPr>
        <w:t xml:space="preserve">shows Medicare growth by PSAP </w:t>
      </w:r>
      <w:r w:rsidR="00527DF4" w:rsidRPr="00A43FCC">
        <w:rPr>
          <w:rFonts w:eastAsia="Times New Roman"/>
          <w:color w:val="4F81BD" w:themeColor="accent1"/>
        </w:rPr>
        <w:t xml:space="preserve">from 2013 to 2018.  This metric was used in the Full Rate Application policy.   Note the 2018 numbers do not tie exactly to those used in the benchmarking due to small differences in the query timing and parameters.  However, they are </w:t>
      </w:r>
      <w:r w:rsidR="00E46252" w:rsidRPr="00A43FCC">
        <w:rPr>
          <w:rFonts w:eastAsia="Times New Roman"/>
          <w:color w:val="4F81BD" w:themeColor="accent1"/>
        </w:rPr>
        <w:t>very similar.   These amounts are not adjusted in any way.  Attachment:  2013 to 2018 PSAP MC FFS Trends</w:t>
      </w:r>
      <w:r w:rsidR="00A43FCC" w:rsidRPr="00A43FCC">
        <w:rPr>
          <w:rFonts w:eastAsia="Times New Roman"/>
          <w:color w:val="4F81BD" w:themeColor="accent1"/>
        </w:rPr>
        <w:t>.</w:t>
      </w:r>
    </w:p>
    <w:p w14:paraId="0701F8BF" w14:textId="77777777" w:rsidR="00693879" w:rsidRDefault="00693879" w:rsidP="00693879">
      <w:pPr>
        <w:ind w:left="720"/>
        <w:rPr>
          <w:rFonts w:eastAsia="Times New Roman"/>
        </w:rPr>
      </w:pPr>
    </w:p>
    <w:p w14:paraId="6A10201C" w14:textId="77777777" w:rsidR="00693879" w:rsidRPr="00693879" w:rsidRDefault="00693879" w:rsidP="00693879">
      <w:pPr>
        <w:rPr>
          <w:rFonts w:eastAsia="Times New Roman"/>
        </w:rPr>
      </w:pPr>
    </w:p>
    <w:p w14:paraId="19F2077B" w14:textId="4594D4AE" w:rsidR="00156D62" w:rsidRDefault="00156D62" w:rsidP="00156D62">
      <w:pPr>
        <w:pStyle w:val="ListParagraph"/>
        <w:numPr>
          <w:ilvl w:val="0"/>
          <w:numId w:val="1"/>
        </w:numPr>
        <w:rPr>
          <w:rFonts w:eastAsia="Times New Roman"/>
        </w:rPr>
      </w:pPr>
      <w:r>
        <w:rPr>
          <w:rFonts w:eastAsia="Times New Roman"/>
        </w:rPr>
        <w:t>Can the staff provide a comparison of the number of beneficiaries in each benchmark county compared to total FFS beneficiaries for 2021?  This will help determine if the 5% representative sample is applicable at a county level – there is some concern that the 5% sample may not be representative in small counties.</w:t>
      </w:r>
    </w:p>
    <w:p w14:paraId="474CD5BA" w14:textId="77777777" w:rsidR="005E5734" w:rsidRDefault="005E5734" w:rsidP="005E5734">
      <w:pPr>
        <w:rPr>
          <w:rFonts w:eastAsia="Times New Roman"/>
        </w:rPr>
      </w:pPr>
    </w:p>
    <w:p w14:paraId="0268006D" w14:textId="1FFEA954" w:rsidR="005E5734" w:rsidRPr="001E21EC" w:rsidRDefault="005E5734" w:rsidP="005E5734">
      <w:pPr>
        <w:ind w:left="720"/>
        <w:rPr>
          <w:rFonts w:eastAsia="Times New Roman"/>
          <w:color w:val="4F81BD" w:themeColor="accent1"/>
        </w:rPr>
      </w:pPr>
      <w:r w:rsidRPr="001E21EC">
        <w:rPr>
          <w:rFonts w:eastAsia="Times New Roman"/>
          <w:color w:val="4F81BD" w:themeColor="accent1"/>
        </w:rPr>
        <w:t xml:space="preserve">The number of </w:t>
      </w:r>
      <w:r w:rsidR="001E21EC" w:rsidRPr="001E21EC">
        <w:rPr>
          <w:rFonts w:eastAsia="Times New Roman"/>
          <w:color w:val="4F81BD" w:themeColor="accent1"/>
        </w:rPr>
        <w:t xml:space="preserve">beneficiary months </w:t>
      </w:r>
      <w:r w:rsidRPr="001E21EC">
        <w:rPr>
          <w:rFonts w:eastAsia="Times New Roman"/>
          <w:color w:val="4F81BD" w:themeColor="accent1"/>
        </w:rPr>
        <w:t xml:space="preserve">in each county </w:t>
      </w:r>
      <w:r w:rsidR="00E55430" w:rsidRPr="001E21EC">
        <w:rPr>
          <w:rFonts w:eastAsia="Times New Roman"/>
          <w:color w:val="4F81BD" w:themeColor="accent1"/>
        </w:rPr>
        <w:t xml:space="preserve">in the 5% sample can be found in the appropriate column on the FIPS tab.  The total Medicare FFS beneficiaries by county is available from CMS. </w:t>
      </w:r>
    </w:p>
    <w:p w14:paraId="7515C8BB" w14:textId="77777777" w:rsidR="00156D62" w:rsidRDefault="00156D62" w:rsidP="00156D62">
      <w:pPr>
        <w:numPr>
          <w:ilvl w:val="0"/>
          <w:numId w:val="1"/>
        </w:numPr>
        <w:spacing w:before="100" w:beforeAutospacing="1" w:after="100" w:afterAutospacing="1"/>
        <w:rPr>
          <w:rFonts w:eastAsia="Times New Roman"/>
        </w:rPr>
      </w:pPr>
      <w:r>
        <w:rPr>
          <w:rFonts w:eastAsia="Times New Roman"/>
        </w:rPr>
        <w:t xml:space="preserve">In the work papers from Mathematica for the Medicare benchmarks, there is a table that supplies summary results from a series of regression models, and the staff concludes that the </w:t>
      </w:r>
      <w:r w:rsidR="00C15B37">
        <w:rPr>
          <w:rFonts w:eastAsia="Times New Roman"/>
        </w:rPr>
        <w:t>results</w:t>
      </w:r>
      <w:r>
        <w:rPr>
          <w:rFonts w:eastAsia="Times New Roman"/>
        </w:rPr>
        <w:t xml:space="preserve"> are not sensitive to the various specifications. Can the staff make available the detailed regression specifications and diagnostics for review?</w:t>
      </w:r>
    </w:p>
    <w:p w14:paraId="681670CC" w14:textId="25E97DCB" w:rsidR="00EC7A23" w:rsidRPr="00841DBC" w:rsidRDefault="001E21EC" w:rsidP="00552656">
      <w:pPr>
        <w:ind w:left="720"/>
        <w:rPr>
          <w:rFonts w:eastAsia="Times New Roman"/>
          <w:color w:val="4F81BD" w:themeColor="accent1"/>
        </w:rPr>
      </w:pPr>
      <w:r w:rsidRPr="00841DBC">
        <w:rPr>
          <w:rFonts w:eastAsia="Times New Roman"/>
          <w:color w:val="4F81BD" w:themeColor="accent1"/>
        </w:rPr>
        <w:t>See attached file</w:t>
      </w:r>
      <w:r w:rsidR="00552656">
        <w:rPr>
          <w:rFonts w:eastAsia="Times New Roman"/>
          <w:color w:val="4F81BD" w:themeColor="accent1"/>
        </w:rPr>
        <w:t>,</w:t>
      </w:r>
      <w:r w:rsidR="00C8683C">
        <w:rPr>
          <w:rFonts w:eastAsia="Times New Roman"/>
          <w:color w:val="4F81BD" w:themeColor="accent1"/>
        </w:rPr>
        <w:t xml:space="preserve"> Table 3 Fit Statistics</w:t>
      </w:r>
      <w:r w:rsidRPr="00841DBC">
        <w:rPr>
          <w:rFonts w:eastAsia="Times New Roman"/>
          <w:color w:val="4F81BD" w:themeColor="accent1"/>
        </w:rPr>
        <w:t xml:space="preserve">.   </w:t>
      </w:r>
    </w:p>
    <w:p w14:paraId="5FC29FF9" w14:textId="77777777" w:rsidR="00C15B37" w:rsidRDefault="00C15B37" w:rsidP="00156D62">
      <w:pPr>
        <w:numPr>
          <w:ilvl w:val="0"/>
          <w:numId w:val="1"/>
        </w:numPr>
        <w:spacing w:before="100" w:beforeAutospacing="1" w:after="100" w:afterAutospacing="1"/>
        <w:rPr>
          <w:rFonts w:eastAsia="Times New Roman"/>
        </w:rPr>
      </w:pPr>
      <w:r>
        <w:rPr>
          <w:rFonts w:eastAsia="Times New Roman"/>
        </w:rPr>
        <w:t>Were similar regression models tested in the Abt work for the Commercial benchmarks, and if so, can those results be made available for review?</w:t>
      </w:r>
    </w:p>
    <w:p w14:paraId="6CDEEBCF" w14:textId="46AA914D" w:rsidR="00B81112" w:rsidRPr="00055316" w:rsidRDefault="002034EF" w:rsidP="00B81112">
      <w:pPr>
        <w:spacing w:before="100" w:beforeAutospacing="1" w:after="100" w:afterAutospacing="1"/>
        <w:ind w:left="720"/>
        <w:rPr>
          <w:rFonts w:eastAsia="Times New Roman"/>
          <w:color w:val="4F81BD" w:themeColor="accent1"/>
        </w:rPr>
      </w:pPr>
      <w:r w:rsidRPr="00055316">
        <w:rPr>
          <w:rFonts w:eastAsia="Times New Roman"/>
          <w:color w:val="4F81BD" w:themeColor="accent1"/>
        </w:rPr>
        <w:t xml:space="preserve">Similar work was not performed because (a) the primary concern seemed to be with the Medicare data, (b) it was assumed commercial data would yield similar results and (c) the Medicare wage index is </w:t>
      </w:r>
      <w:r w:rsidR="00424FF8" w:rsidRPr="00055316">
        <w:rPr>
          <w:rFonts w:eastAsia="Times New Roman"/>
          <w:color w:val="4F81BD" w:themeColor="accent1"/>
        </w:rPr>
        <w:t>not</w:t>
      </w:r>
      <w:r w:rsidRPr="00055316">
        <w:rPr>
          <w:rFonts w:eastAsia="Times New Roman"/>
          <w:color w:val="4F81BD" w:themeColor="accent1"/>
        </w:rPr>
        <w:t xml:space="preserve"> an appropriate adjuster for commercial data.</w:t>
      </w:r>
    </w:p>
    <w:p w14:paraId="487FFEFB" w14:textId="77777777" w:rsidR="00156D62" w:rsidRPr="000848AB" w:rsidRDefault="00156D62" w:rsidP="00156D62">
      <w:pPr>
        <w:pStyle w:val="ListParagraph"/>
        <w:rPr>
          <w:rFonts w:eastAsia="Times New Roman"/>
        </w:rPr>
      </w:pPr>
    </w:p>
    <w:p w14:paraId="7165AFC2" w14:textId="77777777" w:rsidR="00156D62" w:rsidRPr="000848AB" w:rsidRDefault="00156D62" w:rsidP="00156D62">
      <w:pPr>
        <w:rPr>
          <w:rFonts w:eastAsia="Times New Roman"/>
        </w:rPr>
      </w:pPr>
      <w:r w:rsidRPr="000848AB">
        <w:rPr>
          <w:rFonts w:eastAsia="Times New Roman"/>
        </w:rPr>
        <w:t>Methodology</w:t>
      </w:r>
      <w:r w:rsidR="00A23C53" w:rsidRPr="000848AB">
        <w:rPr>
          <w:rFonts w:eastAsia="Times New Roman"/>
        </w:rPr>
        <w:t xml:space="preserve"> Questions</w:t>
      </w:r>
    </w:p>
    <w:p w14:paraId="651497BE" w14:textId="77777777" w:rsidR="00156D62" w:rsidRPr="000848AB" w:rsidRDefault="00156D62" w:rsidP="00156D62">
      <w:pPr>
        <w:rPr>
          <w:rFonts w:eastAsia="Times New Roman"/>
        </w:rPr>
      </w:pPr>
    </w:p>
    <w:p w14:paraId="7B8AC723" w14:textId="77777777" w:rsidR="00552656" w:rsidRDefault="00156D62" w:rsidP="00A23C53">
      <w:pPr>
        <w:pStyle w:val="ListParagraph"/>
        <w:numPr>
          <w:ilvl w:val="0"/>
          <w:numId w:val="4"/>
        </w:numPr>
        <w:rPr>
          <w:rFonts w:eastAsia="Times New Roman"/>
        </w:rPr>
      </w:pPr>
      <w:r w:rsidRPr="000848AB">
        <w:rPr>
          <w:rFonts w:eastAsia="Times New Roman"/>
        </w:rPr>
        <w:t xml:space="preserve">Has the staff modeled the impact of a direct labor market adjustment for benchmark counties </w:t>
      </w:r>
      <w:r w:rsidR="003F4FBC">
        <w:rPr>
          <w:rFonts w:eastAsia="Times New Roman"/>
        </w:rPr>
        <w:t>because</w:t>
      </w:r>
      <w:r w:rsidRPr="000848AB">
        <w:rPr>
          <w:rFonts w:eastAsia="Times New Roman"/>
        </w:rPr>
        <w:t xml:space="preserve"> </w:t>
      </w:r>
      <w:r w:rsidR="00660A3D">
        <w:rPr>
          <w:rFonts w:eastAsia="Times New Roman"/>
        </w:rPr>
        <w:t>the Medicare Hospital Wage Index</w:t>
      </w:r>
      <w:r w:rsidRPr="000848AB">
        <w:rPr>
          <w:rFonts w:eastAsia="Times New Roman"/>
        </w:rPr>
        <w:t xml:space="preserve"> impacts Medicare payments </w:t>
      </w:r>
      <w:r w:rsidR="00660A3D">
        <w:rPr>
          <w:rFonts w:eastAsia="Times New Roman"/>
        </w:rPr>
        <w:t>n</w:t>
      </w:r>
      <w:r w:rsidRPr="000848AB">
        <w:rPr>
          <w:rFonts w:eastAsia="Times New Roman"/>
        </w:rPr>
        <w:t>ationally</w:t>
      </w:r>
      <w:r w:rsidR="0085167B">
        <w:rPr>
          <w:rFonts w:eastAsia="Times New Roman"/>
        </w:rPr>
        <w:t>?</w:t>
      </w:r>
      <w:r w:rsidRPr="000848AB">
        <w:rPr>
          <w:rFonts w:eastAsia="Times New Roman"/>
        </w:rPr>
        <w:t xml:space="preserve"> </w:t>
      </w:r>
      <w:r w:rsidR="0085167B">
        <w:rPr>
          <w:rFonts w:eastAsia="Times New Roman"/>
        </w:rPr>
        <w:t xml:space="preserve">A </w:t>
      </w:r>
      <w:r w:rsidR="00345B68">
        <w:rPr>
          <w:rFonts w:eastAsia="Times New Roman"/>
        </w:rPr>
        <w:t xml:space="preserve">direct </w:t>
      </w:r>
      <w:r w:rsidR="00345B68">
        <w:rPr>
          <w:rFonts w:eastAsia="Times New Roman"/>
        </w:rPr>
        <w:lastRenderedPageBreak/>
        <w:t xml:space="preserve">adjustment </w:t>
      </w:r>
      <w:r w:rsidRPr="000848AB">
        <w:rPr>
          <w:rFonts w:eastAsia="Times New Roman"/>
        </w:rPr>
        <w:t xml:space="preserve">would set the benchmarks at </w:t>
      </w:r>
      <w:r w:rsidR="00345B68">
        <w:rPr>
          <w:rFonts w:eastAsia="Times New Roman"/>
        </w:rPr>
        <w:t xml:space="preserve">an index of </w:t>
      </w:r>
      <w:r w:rsidRPr="000848AB">
        <w:rPr>
          <w:rFonts w:eastAsia="Times New Roman"/>
        </w:rPr>
        <w:t>1.0</w:t>
      </w:r>
      <w:r w:rsidR="0085167B">
        <w:rPr>
          <w:rFonts w:eastAsia="Times New Roman"/>
        </w:rPr>
        <w:t xml:space="preserve">. </w:t>
      </w:r>
      <w:r w:rsidRPr="000848AB">
        <w:rPr>
          <w:rFonts w:eastAsia="Times New Roman"/>
        </w:rPr>
        <w:t>Since there are concerns with the Maryland</w:t>
      </w:r>
      <w:r w:rsidR="0085167B">
        <w:rPr>
          <w:rFonts w:eastAsia="Times New Roman"/>
        </w:rPr>
        <w:t xml:space="preserve"> values of the</w:t>
      </w:r>
      <w:r w:rsidRPr="000848AB">
        <w:rPr>
          <w:rFonts w:eastAsia="Times New Roman"/>
        </w:rPr>
        <w:t xml:space="preserve"> </w:t>
      </w:r>
      <w:r w:rsidR="0085167B">
        <w:rPr>
          <w:rFonts w:eastAsia="Times New Roman"/>
        </w:rPr>
        <w:t>Medicare Hospital Wage Index</w:t>
      </w:r>
      <w:r w:rsidR="00516B86">
        <w:rPr>
          <w:rFonts w:eastAsia="Times New Roman"/>
        </w:rPr>
        <w:t xml:space="preserve">, </w:t>
      </w:r>
      <w:r w:rsidRPr="000848AB">
        <w:rPr>
          <w:rFonts w:eastAsia="Times New Roman"/>
        </w:rPr>
        <w:t xml:space="preserve">has the staff considered replacing the Maryland </w:t>
      </w:r>
      <w:r w:rsidR="00516B86">
        <w:rPr>
          <w:rFonts w:eastAsia="Times New Roman"/>
        </w:rPr>
        <w:t>Medicare Wage Index</w:t>
      </w:r>
      <w:r w:rsidRPr="000848AB">
        <w:rPr>
          <w:rFonts w:eastAsia="Times New Roman"/>
        </w:rPr>
        <w:t xml:space="preserve"> with the labor market index used in the ICC Calculation to adjust the National benchmark for each county in Maryland</w:t>
      </w:r>
      <w:r w:rsidR="00516B86">
        <w:rPr>
          <w:rFonts w:eastAsia="Times New Roman"/>
        </w:rPr>
        <w:t>?</w:t>
      </w:r>
    </w:p>
    <w:p w14:paraId="222A3D4C" w14:textId="4FD00CE0" w:rsidR="00E97904" w:rsidRPr="00552656" w:rsidRDefault="00FC2DA9" w:rsidP="00552656">
      <w:pPr>
        <w:ind w:left="360"/>
        <w:rPr>
          <w:rFonts w:eastAsia="Times New Roman"/>
        </w:rPr>
      </w:pPr>
      <w:r w:rsidRPr="00552656">
        <w:rPr>
          <w:rFonts w:eastAsia="Times New Roman"/>
        </w:rPr>
        <w:t xml:space="preserve">  </w:t>
      </w:r>
    </w:p>
    <w:p w14:paraId="620E2E03" w14:textId="33F1ECF1" w:rsidR="00A23C53" w:rsidRPr="00E97904" w:rsidRDefault="00FC2DA9" w:rsidP="00E97904">
      <w:pPr>
        <w:ind w:left="720"/>
        <w:rPr>
          <w:rFonts w:eastAsia="Times New Roman"/>
          <w:color w:val="4F81BD" w:themeColor="accent1"/>
        </w:rPr>
      </w:pPr>
      <w:r w:rsidRPr="00E97904">
        <w:rPr>
          <w:rFonts w:eastAsia="Times New Roman"/>
          <w:color w:val="4F81BD" w:themeColor="accent1"/>
        </w:rPr>
        <w:t xml:space="preserve">Staff modeled a direct wage adjustment </w:t>
      </w:r>
      <w:r w:rsidR="00676022" w:rsidRPr="00E97904">
        <w:rPr>
          <w:rFonts w:eastAsia="Times New Roman"/>
          <w:color w:val="4F81BD" w:themeColor="accent1"/>
        </w:rPr>
        <w:t xml:space="preserve">using Medicare Hospital Wage Index values for Maryland and benchmark and the answer </w:t>
      </w:r>
      <w:r w:rsidR="00775939" w:rsidRPr="00E97904">
        <w:rPr>
          <w:rFonts w:eastAsia="Times New Roman"/>
          <w:color w:val="4F81BD" w:themeColor="accent1"/>
        </w:rPr>
        <w:t>fails a face validity test due to the distorted Maryland values and also adds considerably to the measured variance (</w:t>
      </w:r>
      <w:proofErr w:type="gramStart"/>
      <w:r w:rsidR="00775939" w:rsidRPr="00E97904">
        <w:rPr>
          <w:rFonts w:eastAsia="Times New Roman"/>
          <w:color w:val="4F81BD" w:themeColor="accent1"/>
        </w:rPr>
        <w:t>i.e.</w:t>
      </w:r>
      <w:proofErr w:type="gramEnd"/>
      <w:r w:rsidR="00775939" w:rsidRPr="00E97904">
        <w:rPr>
          <w:rFonts w:eastAsia="Times New Roman"/>
          <w:color w:val="4F81BD" w:themeColor="accent1"/>
        </w:rPr>
        <w:t xml:space="preserve"> Maryland’s per capita cost</w:t>
      </w:r>
      <w:r w:rsidR="00E97904" w:rsidRPr="00E97904">
        <w:rPr>
          <w:rFonts w:eastAsia="Times New Roman"/>
          <w:color w:val="4F81BD" w:themeColor="accent1"/>
        </w:rPr>
        <w:t xml:space="preserve"> premium increases f</w:t>
      </w:r>
      <w:r w:rsidR="00946092">
        <w:rPr>
          <w:rFonts w:eastAsia="Times New Roman"/>
          <w:color w:val="4F81BD" w:themeColor="accent1"/>
        </w:rPr>
        <w:t>rom</w:t>
      </w:r>
      <w:r w:rsidR="00E97904" w:rsidRPr="00E97904">
        <w:rPr>
          <w:rFonts w:eastAsia="Times New Roman"/>
          <w:color w:val="4F81BD" w:themeColor="accent1"/>
        </w:rPr>
        <w:t xml:space="preserve"> ~$700 M to ~1.3 Billion</w:t>
      </w:r>
      <w:r w:rsidR="00423953">
        <w:rPr>
          <w:rFonts w:eastAsia="Times New Roman"/>
          <w:color w:val="4F81BD" w:themeColor="accent1"/>
        </w:rPr>
        <w:t>)</w:t>
      </w:r>
      <w:r w:rsidR="00E97904" w:rsidRPr="00E97904">
        <w:rPr>
          <w:rFonts w:eastAsia="Times New Roman"/>
          <w:color w:val="4F81BD" w:themeColor="accent1"/>
        </w:rPr>
        <w:t>.</w:t>
      </w:r>
      <w:r w:rsidR="00E97904">
        <w:rPr>
          <w:rFonts w:eastAsia="Times New Roman"/>
          <w:color w:val="4F81BD" w:themeColor="accent1"/>
        </w:rPr>
        <w:t xml:space="preserve">  Staff have not modeled substituting </w:t>
      </w:r>
      <w:r w:rsidR="009E050D">
        <w:rPr>
          <w:rFonts w:eastAsia="Times New Roman"/>
          <w:color w:val="4F81BD" w:themeColor="accent1"/>
        </w:rPr>
        <w:t xml:space="preserve">Maryland values with HSCRC wage indexes because (a) there are not necessarily comparable and (b) it does not resolve the circular reference resulting from </w:t>
      </w:r>
      <w:r w:rsidR="00FC698B">
        <w:rPr>
          <w:rFonts w:eastAsia="Times New Roman"/>
          <w:color w:val="4F81BD" w:themeColor="accent1"/>
        </w:rPr>
        <w:t>using Maryland hospital wages, which are a function of the model, in a calculation of the impact of the model.</w:t>
      </w:r>
    </w:p>
    <w:p w14:paraId="5F74D9A8" w14:textId="77777777" w:rsidR="00E97904" w:rsidRDefault="00E97904" w:rsidP="00E97904">
      <w:pPr>
        <w:ind w:left="360"/>
        <w:rPr>
          <w:rFonts w:eastAsia="Times New Roman"/>
        </w:rPr>
      </w:pPr>
    </w:p>
    <w:p w14:paraId="3D345065" w14:textId="77777777" w:rsidR="00E97904" w:rsidRPr="00E97904" w:rsidRDefault="00E97904" w:rsidP="00E97904">
      <w:pPr>
        <w:rPr>
          <w:rFonts w:eastAsia="Times New Roman"/>
        </w:rPr>
      </w:pPr>
    </w:p>
    <w:p w14:paraId="550808B3" w14:textId="77777777" w:rsidR="00A23C53" w:rsidRDefault="00A23C53" w:rsidP="00A23C53">
      <w:pPr>
        <w:pStyle w:val="ListParagraph"/>
        <w:numPr>
          <w:ilvl w:val="0"/>
          <w:numId w:val="4"/>
        </w:numPr>
        <w:rPr>
          <w:rFonts w:eastAsia="Times New Roman"/>
        </w:rPr>
      </w:pPr>
      <w:r w:rsidRPr="000848AB">
        <w:rPr>
          <w:rFonts w:eastAsia="Times New Roman"/>
        </w:rPr>
        <w:t>Does the staff plan to revamp the wage index for Maryland hospitals based on their Medicare submissions, given that the Maryland labor market index was suspended years ago?</w:t>
      </w:r>
    </w:p>
    <w:p w14:paraId="2585BFC9" w14:textId="77777777" w:rsidR="00423953" w:rsidRDefault="00423953" w:rsidP="00423953">
      <w:pPr>
        <w:rPr>
          <w:rFonts w:eastAsia="Times New Roman"/>
        </w:rPr>
      </w:pPr>
    </w:p>
    <w:p w14:paraId="178B5150" w14:textId="5B51DA20" w:rsidR="00423953" w:rsidRPr="002108ED" w:rsidRDefault="00423953" w:rsidP="00423953">
      <w:pPr>
        <w:ind w:left="720"/>
        <w:rPr>
          <w:rFonts w:eastAsia="Times New Roman"/>
          <w:color w:val="4F81BD" w:themeColor="accent1"/>
        </w:rPr>
      </w:pPr>
      <w:r w:rsidRPr="002108ED">
        <w:rPr>
          <w:rFonts w:eastAsia="Times New Roman"/>
          <w:color w:val="4F81BD" w:themeColor="accent1"/>
        </w:rPr>
        <w:t xml:space="preserve">Staff </w:t>
      </w:r>
      <w:r w:rsidR="002108ED">
        <w:rPr>
          <w:rFonts w:eastAsia="Times New Roman"/>
          <w:color w:val="4F81BD" w:themeColor="accent1"/>
        </w:rPr>
        <w:t>are</w:t>
      </w:r>
      <w:r w:rsidRPr="002108ED">
        <w:rPr>
          <w:rFonts w:eastAsia="Times New Roman"/>
          <w:color w:val="4F81BD" w:themeColor="accent1"/>
        </w:rPr>
        <w:t xml:space="preserve"> </w:t>
      </w:r>
      <w:r w:rsidR="00CE04F4" w:rsidRPr="002108ED">
        <w:rPr>
          <w:rFonts w:eastAsia="Times New Roman"/>
          <w:color w:val="4F81BD" w:themeColor="accent1"/>
        </w:rPr>
        <w:t xml:space="preserve">researching the drivers behind Maryland’s distorted </w:t>
      </w:r>
      <w:r w:rsidR="002108ED">
        <w:rPr>
          <w:rFonts w:eastAsia="Times New Roman"/>
          <w:color w:val="4F81BD" w:themeColor="accent1"/>
        </w:rPr>
        <w:t xml:space="preserve">Medicare Wage Index </w:t>
      </w:r>
      <w:r w:rsidR="00CE04F4" w:rsidRPr="002108ED">
        <w:rPr>
          <w:rFonts w:eastAsia="Times New Roman"/>
          <w:color w:val="4F81BD" w:themeColor="accent1"/>
        </w:rPr>
        <w:t xml:space="preserve">values.  Staff </w:t>
      </w:r>
      <w:r w:rsidR="002108ED" w:rsidRPr="002108ED">
        <w:rPr>
          <w:rFonts w:eastAsia="Times New Roman"/>
          <w:color w:val="4F81BD" w:themeColor="accent1"/>
        </w:rPr>
        <w:t>do</w:t>
      </w:r>
      <w:r w:rsidR="00CE04F4" w:rsidRPr="002108ED">
        <w:rPr>
          <w:rFonts w:eastAsia="Times New Roman"/>
          <w:color w:val="4F81BD" w:themeColor="accent1"/>
        </w:rPr>
        <w:t xml:space="preserve"> not have any plans </w:t>
      </w:r>
      <w:proofErr w:type="gramStart"/>
      <w:r w:rsidR="00CE04F4" w:rsidRPr="002108ED">
        <w:rPr>
          <w:rFonts w:eastAsia="Times New Roman"/>
          <w:color w:val="4F81BD" w:themeColor="accent1"/>
        </w:rPr>
        <w:t>at the moment</w:t>
      </w:r>
      <w:proofErr w:type="gramEnd"/>
      <w:r w:rsidR="00CE04F4" w:rsidRPr="002108ED">
        <w:rPr>
          <w:rFonts w:eastAsia="Times New Roman"/>
          <w:color w:val="4F81BD" w:themeColor="accent1"/>
        </w:rPr>
        <w:t xml:space="preserve"> to revamp </w:t>
      </w:r>
      <w:r w:rsidR="002108ED" w:rsidRPr="002108ED">
        <w:rPr>
          <w:rFonts w:eastAsia="Times New Roman"/>
          <w:color w:val="4F81BD" w:themeColor="accent1"/>
        </w:rPr>
        <w:t>reporting.</w:t>
      </w:r>
    </w:p>
    <w:p w14:paraId="30428C2D" w14:textId="77777777" w:rsidR="00156D62" w:rsidRDefault="00156D62" w:rsidP="00156D62">
      <w:pPr>
        <w:numPr>
          <w:ilvl w:val="0"/>
          <w:numId w:val="4"/>
        </w:numPr>
        <w:spacing w:before="100" w:beforeAutospacing="1" w:after="100" w:afterAutospacing="1"/>
        <w:rPr>
          <w:rFonts w:eastAsia="Times New Roman"/>
        </w:rPr>
      </w:pPr>
      <w:r w:rsidRPr="000848AB">
        <w:rPr>
          <w:rFonts w:eastAsia="Times New Roman"/>
        </w:rPr>
        <w:t>Why has the staff determined that the wage index variation in benchmark counties is acceptable when the staff uses a state-generated wage index to correct for substantially smaller variation across Maryland hospitals for internal efficiency measurement?</w:t>
      </w:r>
    </w:p>
    <w:p w14:paraId="0A45D82D" w14:textId="7A508621" w:rsidR="00531F3C" w:rsidRDefault="000B4124" w:rsidP="00531F3C">
      <w:pPr>
        <w:spacing w:before="100" w:beforeAutospacing="1" w:after="100" w:afterAutospacing="1"/>
        <w:ind w:left="720"/>
        <w:rPr>
          <w:rFonts w:eastAsia="Times New Roman"/>
          <w:color w:val="4F81BD" w:themeColor="accent1"/>
        </w:rPr>
      </w:pPr>
      <w:r w:rsidRPr="005E7826">
        <w:rPr>
          <w:rFonts w:eastAsia="Times New Roman"/>
          <w:color w:val="4F81BD" w:themeColor="accent1"/>
        </w:rPr>
        <w:t xml:space="preserve">The benchmarks </w:t>
      </w:r>
      <w:r w:rsidR="00803A2A" w:rsidRPr="005E7826">
        <w:rPr>
          <w:rFonts w:eastAsia="Times New Roman"/>
          <w:color w:val="4F81BD" w:themeColor="accent1"/>
        </w:rPr>
        <w:t xml:space="preserve">use Median Income in peer selection and </w:t>
      </w:r>
      <w:r w:rsidRPr="005E7826">
        <w:rPr>
          <w:rFonts w:eastAsia="Times New Roman"/>
          <w:color w:val="4F81BD" w:themeColor="accent1"/>
        </w:rPr>
        <w:t xml:space="preserve">demographic adjustment and </w:t>
      </w:r>
      <w:r w:rsidR="00803A2A" w:rsidRPr="005E7826">
        <w:rPr>
          <w:rFonts w:eastAsia="Times New Roman"/>
          <w:color w:val="4F81BD" w:themeColor="accent1"/>
        </w:rPr>
        <w:t>Regional Price Parity in peer se</w:t>
      </w:r>
      <w:r w:rsidRPr="005E7826">
        <w:rPr>
          <w:rFonts w:eastAsia="Times New Roman"/>
          <w:color w:val="4F81BD" w:themeColor="accent1"/>
        </w:rPr>
        <w:t xml:space="preserve">lection.  Both these </w:t>
      </w:r>
      <w:r w:rsidR="00FA3201" w:rsidRPr="005E7826">
        <w:rPr>
          <w:rFonts w:eastAsia="Times New Roman"/>
          <w:color w:val="4F81BD" w:themeColor="accent1"/>
        </w:rPr>
        <w:t xml:space="preserve">metrics will have considerable co-linearity with wage indices.  Staff have shown that adding an independent wage index measure does not </w:t>
      </w:r>
      <w:r w:rsidR="003E1E76" w:rsidRPr="005E7826">
        <w:rPr>
          <w:rFonts w:eastAsia="Times New Roman"/>
          <w:color w:val="4F81BD" w:themeColor="accent1"/>
        </w:rPr>
        <w:t>add significantly to the model.   The benchmarks are used to relatively rank hospitals not to make dollar-for-dollar adjustments</w:t>
      </w:r>
      <w:r w:rsidR="005E7826" w:rsidRPr="005E7826">
        <w:rPr>
          <w:rFonts w:eastAsia="Times New Roman"/>
          <w:color w:val="4F81BD" w:themeColor="accent1"/>
        </w:rPr>
        <w:t xml:space="preserve">.  </w:t>
      </w:r>
      <w:r w:rsidR="003E1E76" w:rsidRPr="005E7826">
        <w:rPr>
          <w:rFonts w:eastAsia="Times New Roman"/>
          <w:color w:val="4F81BD" w:themeColor="accent1"/>
        </w:rPr>
        <w:t xml:space="preserve"> </w:t>
      </w:r>
      <w:r w:rsidR="005E7826" w:rsidRPr="005E7826">
        <w:rPr>
          <w:rFonts w:eastAsia="Times New Roman"/>
          <w:color w:val="4F81BD" w:themeColor="accent1"/>
        </w:rPr>
        <w:t>T</w:t>
      </w:r>
      <w:r w:rsidR="003E1E76" w:rsidRPr="005E7826">
        <w:rPr>
          <w:rFonts w:eastAsia="Times New Roman"/>
          <w:color w:val="4F81BD" w:themeColor="accent1"/>
        </w:rPr>
        <w:t xml:space="preserve">here is no basis to conclude that adding additional complexity to the model would </w:t>
      </w:r>
      <w:r w:rsidR="005E7826" w:rsidRPr="005E7826">
        <w:rPr>
          <w:rFonts w:eastAsia="Times New Roman"/>
          <w:color w:val="4F81BD" w:themeColor="accent1"/>
        </w:rPr>
        <w:t xml:space="preserve">materially </w:t>
      </w:r>
      <w:r w:rsidR="003E1E76" w:rsidRPr="005E7826">
        <w:rPr>
          <w:rFonts w:eastAsia="Times New Roman"/>
          <w:color w:val="4F81BD" w:themeColor="accent1"/>
        </w:rPr>
        <w:t>change the outcome.</w:t>
      </w:r>
    </w:p>
    <w:p w14:paraId="337EF403" w14:textId="5D5F23B3" w:rsidR="00B40750" w:rsidRPr="005E7826" w:rsidRDefault="00B40750" w:rsidP="00552656">
      <w:pPr>
        <w:spacing w:before="100" w:beforeAutospacing="1" w:after="100" w:afterAutospacing="1"/>
        <w:ind w:left="720"/>
        <w:rPr>
          <w:rFonts w:eastAsia="Times New Roman"/>
          <w:color w:val="4F81BD" w:themeColor="accent1"/>
        </w:rPr>
      </w:pPr>
      <w:r>
        <w:rPr>
          <w:rFonts w:eastAsia="Times New Roman"/>
          <w:color w:val="4F81BD" w:themeColor="accent1"/>
        </w:rPr>
        <w:t>Also</w:t>
      </w:r>
      <w:r w:rsidR="00552656">
        <w:rPr>
          <w:rFonts w:eastAsia="Times New Roman"/>
          <w:color w:val="4F81BD" w:themeColor="accent1"/>
        </w:rPr>
        <w:t>,</w:t>
      </w:r>
      <w:r>
        <w:rPr>
          <w:rFonts w:eastAsia="Times New Roman"/>
          <w:color w:val="4F81BD" w:themeColor="accent1"/>
        </w:rPr>
        <w:t xml:space="preserve"> Staff notes that the impact of wages is muted in the ICC by the grouping of hospitals into just two labor markets meaning that the methodology does not adjust at a granular level as is suggested in the questions.</w:t>
      </w:r>
    </w:p>
    <w:p w14:paraId="04086953" w14:textId="77777777" w:rsidR="00156D62" w:rsidRDefault="00156D62" w:rsidP="00A23C53">
      <w:pPr>
        <w:numPr>
          <w:ilvl w:val="0"/>
          <w:numId w:val="4"/>
        </w:numPr>
        <w:spacing w:before="100" w:beforeAutospacing="1" w:after="100" w:afterAutospacing="1"/>
        <w:rPr>
          <w:rFonts w:eastAsia="Times New Roman"/>
        </w:rPr>
      </w:pPr>
      <w:r w:rsidRPr="000848AB">
        <w:rPr>
          <w:rFonts w:eastAsia="Times New Roman"/>
        </w:rPr>
        <w:t xml:space="preserve">Can the staff explain the rationale as to why the Maryland TCOC amounts are calculated based on a weighted average, but the peer group counties are a straight average so counties with small beneficiaries received the same weigh as larger counties?  </w:t>
      </w:r>
    </w:p>
    <w:p w14:paraId="7B40C7C2" w14:textId="0D7C61D4" w:rsidR="00626E9C" w:rsidRPr="00626E9C" w:rsidRDefault="000F04A8" w:rsidP="00626E9C">
      <w:pPr>
        <w:spacing w:before="100" w:beforeAutospacing="1" w:after="100" w:afterAutospacing="1"/>
        <w:ind w:left="720"/>
        <w:rPr>
          <w:rFonts w:eastAsia="Times New Roman"/>
          <w:color w:val="4F81BD" w:themeColor="accent1"/>
        </w:rPr>
      </w:pPr>
      <w:r w:rsidRPr="00626E9C">
        <w:rPr>
          <w:rFonts w:eastAsia="Times New Roman"/>
          <w:color w:val="4F81BD" w:themeColor="accent1"/>
        </w:rPr>
        <w:t xml:space="preserve">Total Maryland TCOC amounts are calculated by weighting </w:t>
      </w:r>
      <w:r w:rsidR="00D753E2" w:rsidRPr="00626E9C">
        <w:rPr>
          <w:rFonts w:eastAsia="Times New Roman"/>
          <w:color w:val="4F81BD" w:themeColor="accent1"/>
        </w:rPr>
        <w:t xml:space="preserve">based on Maryland county populations because calculating a Maryland total by any other means would be inaccurate.  Benchmark counties are chosen </w:t>
      </w:r>
      <w:r w:rsidR="00F8649C" w:rsidRPr="00626E9C">
        <w:rPr>
          <w:rFonts w:eastAsia="Times New Roman"/>
          <w:color w:val="4F81BD" w:themeColor="accent1"/>
        </w:rPr>
        <w:t xml:space="preserve">based on their similarity to Maryland counties.   </w:t>
      </w:r>
      <w:r w:rsidR="003624D9" w:rsidRPr="00626E9C">
        <w:rPr>
          <w:rFonts w:eastAsia="Times New Roman"/>
          <w:color w:val="4F81BD" w:themeColor="accent1"/>
        </w:rPr>
        <w:t xml:space="preserve">Staff does not believe that if two counties are otherwise equally similar it </w:t>
      </w:r>
      <w:r w:rsidR="00DA2803" w:rsidRPr="00626E9C">
        <w:rPr>
          <w:rFonts w:eastAsia="Times New Roman"/>
          <w:color w:val="4F81BD" w:themeColor="accent1"/>
        </w:rPr>
        <w:t xml:space="preserve">is appropriate to </w:t>
      </w:r>
      <w:r w:rsidR="00AB1620" w:rsidRPr="00626E9C">
        <w:rPr>
          <w:rFonts w:eastAsia="Times New Roman"/>
          <w:color w:val="4F81BD" w:themeColor="accent1"/>
        </w:rPr>
        <w:t xml:space="preserve">weight </w:t>
      </w:r>
      <w:r w:rsidR="00DA2803" w:rsidRPr="00626E9C">
        <w:rPr>
          <w:rFonts w:eastAsia="Times New Roman"/>
          <w:color w:val="4F81BD" w:themeColor="accent1"/>
        </w:rPr>
        <w:t>the larger one</w:t>
      </w:r>
      <w:r w:rsidR="00C822D0">
        <w:rPr>
          <w:rFonts w:eastAsia="Times New Roman"/>
          <w:color w:val="4F81BD" w:themeColor="accent1"/>
        </w:rPr>
        <w:t xml:space="preserve"> more heavily</w:t>
      </w:r>
      <w:r w:rsidR="00DA2803" w:rsidRPr="00626E9C">
        <w:rPr>
          <w:rFonts w:eastAsia="Times New Roman"/>
          <w:color w:val="4F81BD" w:themeColor="accent1"/>
        </w:rPr>
        <w:t xml:space="preserve">.  As some national urban counties are </w:t>
      </w:r>
      <w:r w:rsidR="003F4F88" w:rsidRPr="00626E9C">
        <w:rPr>
          <w:rFonts w:eastAsia="Times New Roman"/>
          <w:color w:val="4F81BD" w:themeColor="accent1"/>
        </w:rPr>
        <w:t xml:space="preserve">significantly larger than most of their </w:t>
      </w:r>
      <w:r w:rsidR="00AB1620" w:rsidRPr="00626E9C">
        <w:rPr>
          <w:rFonts w:eastAsia="Times New Roman"/>
          <w:color w:val="4F81BD" w:themeColor="accent1"/>
        </w:rPr>
        <w:t>peers,</w:t>
      </w:r>
      <w:r w:rsidR="003F4F88" w:rsidRPr="00626E9C">
        <w:rPr>
          <w:rFonts w:eastAsia="Times New Roman"/>
          <w:color w:val="4F81BD" w:themeColor="accent1"/>
        </w:rPr>
        <w:t xml:space="preserve"> weighting based on </w:t>
      </w:r>
      <w:r w:rsidR="00C822D0">
        <w:rPr>
          <w:rFonts w:eastAsia="Times New Roman"/>
          <w:color w:val="4F81BD" w:themeColor="accent1"/>
        </w:rPr>
        <w:t>beneficiaries</w:t>
      </w:r>
      <w:r w:rsidR="003F4F88" w:rsidRPr="00626E9C">
        <w:rPr>
          <w:rFonts w:eastAsia="Times New Roman"/>
          <w:color w:val="4F81BD" w:themeColor="accent1"/>
        </w:rPr>
        <w:t xml:space="preserve"> would result in these counties receiving a very large weight</w:t>
      </w:r>
      <w:r w:rsidR="00844351" w:rsidRPr="00626E9C">
        <w:rPr>
          <w:rFonts w:eastAsia="Times New Roman"/>
          <w:color w:val="4F81BD" w:themeColor="accent1"/>
        </w:rPr>
        <w:t>.  For example, two of the twenty peer counties would account for over 1/3 of the weight in the Medicare benchmark for Baltimore City if the counties were weighted on beneficiaries.</w:t>
      </w:r>
      <w:r w:rsidR="003F4F88" w:rsidRPr="00626E9C">
        <w:rPr>
          <w:rFonts w:eastAsia="Times New Roman"/>
          <w:color w:val="4F81BD" w:themeColor="accent1"/>
        </w:rPr>
        <w:t xml:space="preserve"> </w:t>
      </w:r>
      <w:r w:rsidR="00626E9C" w:rsidRPr="00626E9C">
        <w:rPr>
          <w:rFonts w:eastAsia="Times New Roman"/>
          <w:color w:val="4F81BD" w:themeColor="accent1"/>
        </w:rPr>
        <w:t xml:space="preserve">  </w:t>
      </w:r>
    </w:p>
    <w:p w14:paraId="51BD59DC" w14:textId="7851F569" w:rsidR="00C15B37" w:rsidRPr="00626E9C" w:rsidRDefault="00C15B37" w:rsidP="00626E9C">
      <w:pPr>
        <w:pStyle w:val="ListParagraph"/>
        <w:numPr>
          <w:ilvl w:val="0"/>
          <w:numId w:val="1"/>
        </w:numPr>
        <w:spacing w:before="100" w:beforeAutospacing="1" w:after="100" w:afterAutospacing="1"/>
        <w:rPr>
          <w:rFonts w:eastAsia="Times New Roman"/>
        </w:rPr>
      </w:pPr>
      <w:r w:rsidRPr="00626E9C">
        <w:rPr>
          <w:rFonts w:eastAsia="Times New Roman"/>
        </w:rPr>
        <w:lastRenderedPageBreak/>
        <w:t>What is the rationale for constructing national peers for Maryland geographic regions</w:t>
      </w:r>
      <w:r w:rsidR="00EC2ED9" w:rsidRPr="00626E9C">
        <w:rPr>
          <w:rFonts w:eastAsia="Times New Roman"/>
        </w:rPr>
        <w:t xml:space="preserve"> under the Medicare TCOC benchmarks</w:t>
      </w:r>
      <w:r w:rsidRPr="00626E9C">
        <w:rPr>
          <w:rFonts w:eastAsia="Times New Roman"/>
        </w:rPr>
        <w:t xml:space="preserve"> when the ICC and Integrated Efficiency methodologies have eliminated the use of peer groups (except for the AMCs) in the internal measurement of hospital efficiency?</w:t>
      </w:r>
    </w:p>
    <w:p w14:paraId="682D3C6A" w14:textId="3E49A10B" w:rsidR="00841DBC" w:rsidRDefault="0002568E" w:rsidP="0002568E">
      <w:pPr>
        <w:ind w:left="720"/>
        <w:rPr>
          <w:rFonts w:eastAsia="Times New Roman"/>
          <w:color w:val="4F81BD" w:themeColor="accent1"/>
        </w:rPr>
      </w:pPr>
      <w:r w:rsidRPr="0097422E">
        <w:rPr>
          <w:rFonts w:eastAsia="Times New Roman"/>
          <w:color w:val="4F81BD" w:themeColor="accent1"/>
        </w:rPr>
        <w:t>One of the goals of the benchmarking was to create peer groups for each Maryland count</w:t>
      </w:r>
      <w:r w:rsidR="00446934" w:rsidRPr="0097422E">
        <w:rPr>
          <w:rFonts w:eastAsia="Times New Roman"/>
          <w:color w:val="4F81BD" w:themeColor="accent1"/>
        </w:rPr>
        <w:t xml:space="preserve">y in order to understand where they stood with respect to peers at </w:t>
      </w:r>
      <w:r w:rsidR="00A65C25" w:rsidRPr="0097422E">
        <w:rPr>
          <w:rFonts w:eastAsia="Times New Roman"/>
          <w:color w:val="4F81BD" w:themeColor="accent1"/>
        </w:rPr>
        <w:t xml:space="preserve">a </w:t>
      </w:r>
      <w:r w:rsidR="00446934" w:rsidRPr="0097422E">
        <w:rPr>
          <w:rFonts w:eastAsia="Times New Roman"/>
          <w:color w:val="4F81BD" w:themeColor="accent1"/>
        </w:rPr>
        <w:t xml:space="preserve">more </w:t>
      </w:r>
      <w:r w:rsidR="00852437" w:rsidRPr="0097422E">
        <w:rPr>
          <w:rFonts w:eastAsia="Times New Roman"/>
          <w:color w:val="4F81BD" w:themeColor="accent1"/>
        </w:rPr>
        <w:t>detailed</w:t>
      </w:r>
      <w:r w:rsidR="00446934" w:rsidRPr="0097422E">
        <w:rPr>
          <w:rFonts w:eastAsia="Times New Roman"/>
          <w:color w:val="4F81BD" w:themeColor="accent1"/>
        </w:rPr>
        <w:t xml:space="preserve"> </w:t>
      </w:r>
      <w:r w:rsidR="00A65C25" w:rsidRPr="0097422E">
        <w:rPr>
          <w:rFonts w:eastAsia="Times New Roman"/>
          <w:color w:val="4F81BD" w:themeColor="accent1"/>
        </w:rPr>
        <w:t>level</w:t>
      </w:r>
      <w:r w:rsidR="00852437" w:rsidRPr="0097422E">
        <w:rPr>
          <w:rFonts w:eastAsia="Times New Roman"/>
          <w:color w:val="4F81BD" w:themeColor="accent1"/>
        </w:rPr>
        <w:t xml:space="preserve"> (</w:t>
      </w:r>
      <w:proofErr w:type="gramStart"/>
      <w:r w:rsidR="00852437" w:rsidRPr="0097422E">
        <w:rPr>
          <w:rFonts w:eastAsia="Times New Roman"/>
          <w:color w:val="4F81BD" w:themeColor="accent1"/>
        </w:rPr>
        <w:t>e.g.</w:t>
      </w:r>
      <w:proofErr w:type="gramEnd"/>
      <w:r w:rsidR="00852437" w:rsidRPr="0097422E">
        <w:rPr>
          <w:rFonts w:eastAsia="Times New Roman"/>
          <w:color w:val="4F81BD" w:themeColor="accent1"/>
        </w:rPr>
        <w:t xml:space="preserve"> 15</w:t>
      </w:r>
      <w:r w:rsidR="00852437" w:rsidRPr="0097422E">
        <w:rPr>
          <w:rFonts w:eastAsia="Times New Roman"/>
          <w:color w:val="4F81BD" w:themeColor="accent1"/>
          <w:vertAlign w:val="superscript"/>
        </w:rPr>
        <w:t>th</w:t>
      </w:r>
      <w:r w:rsidR="00852437" w:rsidRPr="0097422E">
        <w:rPr>
          <w:rFonts w:eastAsia="Times New Roman"/>
          <w:color w:val="4F81BD" w:themeColor="accent1"/>
        </w:rPr>
        <w:t xml:space="preserve"> percentile versus 45</w:t>
      </w:r>
      <w:r w:rsidR="00852437" w:rsidRPr="0097422E">
        <w:rPr>
          <w:rFonts w:eastAsia="Times New Roman"/>
          <w:color w:val="4F81BD" w:themeColor="accent1"/>
          <w:vertAlign w:val="superscript"/>
        </w:rPr>
        <w:t>th</w:t>
      </w:r>
      <w:r w:rsidR="00852437" w:rsidRPr="0097422E">
        <w:rPr>
          <w:rFonts w:eastAsia="Times New Roman"/>
          <w:color w:val="4F81BD" w:themeColor="accent1"/>
        </w:rPr>
        <w:t xml:space="preserve"> percentile)</w:t>
      </w:r>
      <w:r w:rsidR="00AA4624" w:rsidRPr="0097422E">
        <w:rPr>
          <w:rFonts w:eastAsia="Times New Roman"/>
          <w:color w:val="4F81BD" w:themeColor="accent1"/>
        </w:rPr>
        <w:t xml:space="preserve"> rather than </w:t>
      </w:r>
      <w:r w:rsidR="00A65C25" w:rsidRPr="0097422E">
        <w:rPr>
          <w:rFonts w:eastAsia="Times New Roman"/>
          <w:color w:val="4F81BD" w:themeColor="accent1"/>
        </w:rPr>
        <w:t xml:space="preserve">just the </w:t>
      </w:r>
      <w:r w:rsidR="00446934" w:rsidRPr="0097422E">
        <w:rPr>
          <w:rFonts w:eastAsia="Times New Roman"/>
          <w:color w:val="4F81BD" w:themeColor="accent1"/>
        </w:rPr>
        <w:t>variance from average</w:t>
      </w:r>
      <w:r w:rsidR="00AA4624" w:rsidRPr="0097422E">
        <w:rPr>
          <w:rFonts w:eastAsia="Times New Roman"/>
          <w:color w:val="4F81BD" w:themeColor="accent1"/>
        </w:rPr>
        <w:t xml:space="preserve">. </w:t>
      </w:r>
      <w:r w:rsidR="001C452B" w:rsidRPr="0097422E">
        <w:rPr>
          <w:rFonts w:eastAsia="Times New Roman"/>
          <w:color w:val="4F81BD" w:themeColor="accent1"/>
        </w:rPr>
        <w:t xml:space="preserve"> </w:t>
      </w:r>
      <w:r w:rsidR="005E617C" w:rsidRPr="0097422E">
        <w:rPr>
          <w:rFonts w:eastAsia="Times New Roman"/>
          <w:color w:val="4F81BD" w:themeColor="accent1"/>
        </w:rPr>
        <w:t>Staff also though</w:t>
      </w:r>
      <w:r w:rsidR="00AA4624" w:rsidRPr="0097422E">
        <w:rPr>
          <w:rFonts w:eastAsia="Times New Roman"/>
          <w:color w:val="4F81BD" w:themeColor="accent1"/>
        </w:rPr>
        <w:t>t</w:t>
      </w:r>
      <w:r w:rsidR="005E617C" w:rsidRPr="0097422E">
        <w:rPr>
          <w:rFonts w:eastAsia="Times New Roman"/>
          <w:color w:val="4F81BD" w:themeColor="accent1"/>
        </w:rPr>
        <w:t xml:space="preserve"> that the peer group approach might be conceptually more appealing to use</w:t>
      </w:r>
      <w:r w:rsidR="00AA4624" w:rsidRPr="0097422E">
        <w:rPr>
          <w:rFonts w:eastAsia="Times New Roman"/>
          <w:color w:val="4F81BD" w:themeColor="accent1"/>
        </w:rPr>
        <w:t>r</w:t>
      </w:r>
      <w:r w:rsidR="005E617C" w:rsidRPr="0097422E">
        <w:rPr>
          <w:rFonts w:eastAsia="Times New Roman"/>
          <w:color w:val="4F81BD" w:themeColor="accent1"/>
        </w:rPr>
        <w:t>s than a black-box type regression approach</w:t>
      </w:r>
      <w:r w:rsidR="00AA4624" w:rsidRPr="0097422E">
        <w:rPr>
          <w:rFonts w:eastAsia="Times New Roman"/>
          <w:color w:val="4F81BD" w:themeColor="accent1"/>
        </w:rPr>
        <w:t xml:space="preserve"> given the challenge of </w:t>
      </w:r>
      <w:r w:rsidR="00EC30F5" w:rsidRPr="0097422E">
        <w:rPr>
          <w:rFonts w:eastAsia="Times New Roman"/>
          <w:color w:val="4F81BD" w:themeColor="accent1"/>
        </w:rPr>
        <w:t xml:space="preserve">a </w:t>
      </w:r>
      <w:r w:rsidR="00AA4624" w:rsidRPr="0097422E">
        <w:rPr>
          <w:rFonts w:eastAsia="Times New Roman"/>
          <w:color w:val="4F81BD" w:themeColor="accent1"/>
        </w:rPr>
        <w:t xml:space="preserve">limited </w:t>
      </w:r>
      <w:r w:rsidR="00EC30F5" w:rsidRPr="0097422E">
        <w:rPr>
          <w:rFonts w:eastAsia="Times New Roman"/>
          <w:color w:val="4F81BD" w:themeColor="accent1"/>
        </w:rPr>
        <w:t>number of</w:t>
      </w:r>
      <w:r w:rsidR="00881371">
        <w:rPr>
          <w:rFonts w:eastAsia="Times New Roman"/>
          <w:color w:val="4F81BD" w:themeColor="accent1"/>
        </w:rPr>
        <w:t xml:space="preserve"> possible</w:t>
      </w:r>
      <w:r w:rsidR="00EC30F5" w:rsidRPr="0097422E">
        <w:rPr>
          <w:rFonts w:eastAsia="Times New Roman"/>
          <w:color w:val="4F81BD" w:themeColor="accent1"/>
        </w:rPr>
        <w:t xml:space="preserve"> </w:t>
      </w:r>
      <w:r w:rsidR="004B5841" w:rsidRPr="0097422E">
        <w:rPr>
          <w:rFonts w:eastAsia="Times New Roman"/>
          <w:color w:val="4F81BD" w:themeColor="accent1"/>
        </w:rPr>
        <w:t>peers</w:t>
      </w:r>
      <w:r w:rsidR="00881371">
        <w:rPr>
          <w:rFonts w:eastAsia="Times New Roman"/>
          <w:color w:val="4F81BD" w:themeColor="accent1"/>
        </w:rPr>
        <w:t>,</w:t>
      </w:r>
      <w:r w:rsidR="004B5841" w:rsidRPr="0097422E">
        <w:rPr>
          <w:rFonts w:eastAsia="Times New Roman"/>
          <w:color w:val="4F81BD" w:themeColor="accent1"/>
        </w:rPr>
        <w:t xml:space="preserve"> faced in the efficiency methodology</w:t>
      </w:r>
      <w:r w:rsidR="00881371">
        <w:rPr>
          <w:rFonts w:eastAsia="Times New Roman"/>
          <w:color w:val="4F81BD" w:themeColor="accent1"/>
        </w:rPr>
        <w:t>,</w:t>
      </w:r>
      <w:r w:rsidR="004B5841" w:rsidRPr="0097422E">
        <w:rPr>
          <w:rFonts w:eastAsia="Times New Roman"/>
          <w:color w:val="4F81BD" w:themeColor="accent1"/>
        </w:rPr>
        <w:t xml:space="preserve"> does not exist.  </w:t>
      </w:r>
      <w:r w:rsidR="005E617C" w:rsidRPr="0097422E">
        <w:rPr>
          <w:rFonts w:eastAsia="Times New Roman"/>
          <w:color w:val="4F81BD" w:themeColor="accent1"/>
        </w:rPr>
        <w:t xml:space="preserve">  </w:t>
      </w:r>
      <w:r w:rsidR="00EC30F5" w:rsidRPr="0097422E">
        <w:rPr>
          <w:rFonts w:eastAsia="Times New Roman"/>
          <w:color w:val="4F81BD" w:themeColor="accent1"/>
        </w:rPr>
        <w:t>However</w:t>
      </w:r>
      <w:r w:rsidR="00E9005E" w:rsidRPr="0097422E">
        <w:rPr>
          <w:rFonts w:eastAsia="Times New Roman"/>
          <w:color w:val="4F81BD" w:themeColor="accent1"/>
        </w:rPr>
        <w:t>,</w:t>
      </w:r>
      <w:r w:rsidR="00EC30F5" w:rsidRPr="0097422E">
        <w:rPr>
          <w:rFonts w:eastAsia="Times New Roman"/>
          <w:color w:val="4F81BD" w:themeColor="accent1"/>
        </w:rPr>
        <w:t xml:space="preserve"> </w:t>
      </w:r>
      <w:r w:rsidR="001C452B" w:rsidRPr="0097422E">
        <w:rPr>
          <w:rFonts w:eastAsia="Times New Roman"/>
          <w:color w:val="4F81BD" w:themeColor="accent1"/>
        </w:rPr>
        <w:t xml:space="preserve">Staff notes </w:t>
      </w:r>
      <w:r w:rsidR="00EC30F5" w:rsidRPr="0097422E">
        <w:rPr>
          <w:rFonts w:eastAsia="Times New Roman"/>
          <w:color w:val="4F81BD" w:themeColor="accent1"/>
        </w:rPr>
        <w:t xml:space="preserve">that a </w:t>
      </w:r>
      <w:r w:rsidR="00E9005E" w:rsidRPr="0097422E">
        <w:rPr>
          <w:rFonts w:eastAsia="Times New Roman"/>
          <w:color w:val="4F81BD" w:themeColor="accent1"/>
        </w:rPr>
        <w:t xml:space="preserve">regression-based approach was </w:t>
      </w:r>
      <w:r w:rsidR="001C452B" w:rsidRPr="0097422E">
        <w:rPr>
          <w:rFonts w:eastAsia="Times New Roman"/>
          <w:color w:val="4F81BD" w:themeColor="accent1"/>
        </w:rPr>
        <w:t>taken by Mathematica in the evaluation and that it would be a valid approach</w:t>
      </w:r>
      <w:r w:rsidR="00DE6A5D" w:rsidRPr="0097422E">
        <w:rPr>
          <w:rFonts w:eastAsia="Times New Roman"/>
          <w:color w:val="4F81BD" w:themeColor="accent1"/>
        </w:rPr>
        <w:t xml:space="preserve"> and </w:t>
      </w:r>
      <w:r w:rsidR="00E9005E" w:rsidRPr="0097422E">
        <w:rPr>
          <w:rFonts w:eastAsia="Times New Roman"/>
          <w:color w:val="4F81BD" w:themeColor="accent1"/>
        </w:rPr>
        <w:t>will</w:t>
      </w:r>
      <w:r w:rsidR="00DE6A5D" w:rsidRPr="0097422E">
        <w:rPr>
          <w:rFonts w:eastAsia="Times New Roman"/>
          <w:color w:val="4F81BD" w:themeColor="accent1"/>
        </w:rPr>
        <w:t xml:space="preserve"> be </w:t>
      </w:r>
      <w:r w:rsidR="00E9005E" w:rsidRPr="0097422E">
        <w:rPr>
          <w:rFonts w:eastAsia="Times New Roman"/>
          <w:color w:val="4F81BD" w:themeColor="accent1"/>
        </w:rPr>
        <w:t>re</w:t>
      </w:r>
      <w:r w:rsidR="00DE6A5D" w:rsidRPr="0097422E">
        <w:rPr>
          <w:rFonts w:eastAsia="Times New Roman"/>
          <w:color w:val="4F81BD" w:themeColor="accent1"/>
        </w:rPr>
        <w:t>considered when the benchmarking is refreshed</w:t>
      </w:r>
      <w:r w:rsidR="001C452B" w:rsidRPr="0097422E">
        <w:rPr>
          <w:rFonts w:eastAsia="Times New Roman"/>
          <w:color w:val="4F81BD" w:themeColor="accent1"/>
        </w:rPr>
        <w:t xml:space="preserve">.   </w:t>
      </w:r>
    </w:p>
    <w:p w14:paraId="1538BEF5" w14:textId="2B303E9D" w:rsidR="00ED1999" w:rsidRDefault="00ED1999" w:rsidP="00552656">
      <w:pPr>
        <w:spacing w:after="200" w:line="276" w:lineRule="auto"/>
        <w:rPr>
          <w:rFonts w:eastAsia="Times New Roman"/>
          <w:color w:val="4F81BD" w:themeColor="accent1"/>
        </w:rPr>
      </w:pPr>
    </w:p>
    <w:p w14:paraId="6BA4580E" w14:textId="6149331D" w:rsidR="003D559A" w:rsidRPr="002A6C6C" w:rsidRDefault="003D559A" w:rsidP="002A6C6C">
      <w:pPr>
        <w:pStyle w:val="ListParagraph"/>
        <w:numPr>
          <w:ilvl w:val="0"/>
          <w:numId w:val="1"/>
        </w:numPr>
        <w:spacing w:before="100" w:beforeAutospacing="1" w:after="100" w:afterAutospacing="1"/>
        <w:rPr>
          <w:rFonts w:eastAsia="Times New Roman"/>
        </w:rPr>
      </w:pPr>
      <w:r w:rsidRPr="002A6C6C">
        <w:rPr>
          <w:rFonts w:eastAsia="Times New Roman"/>
        </w:rPr>
        <w:t xml:space="preserve">Medicare payments are wage adjusted. Has the Commission Staff (or the Commission's contractors) modeled the impact of including a direct labor market adjustment in its methodology, whether using the Medicare Hospital Wage Index or any other wage factor of the Commission's choosing? If not, why not, especially </w:t>
      </w:r>
      <w:proofErr w:type="gramStart"/>
      <w:r w:rsidRPr="002A6C6C">
        <w:rPr>
          <w:rFonts w:eastAsia="Times New Roman"/>
        </w:rPr>
        <w:t>in light of the fact that</w:t>
      </w:r>
      <w:proofErr w:type="gramEnd"/>
      <w:r w:rsidRPr="002A6C6C">
        <w:rPr>
          <w:rFonts w:eastAsia="Times New Roman"/>
        </w:rPr>
        <w:t xml:space="preserve"> the Staff's ICC methodology includes a direct labor market adjustment when comparing Maryland hospitals among</w:t>
      </w:r>
      <w:r w:rsidR="002A6C6C">
        <w:rPr>
          <w:rFonts w:eastAsia="Times New Roman"/>
        </w:rPr>
        <w:t xml:space="preserve"> </w:t>
      </w:r>
      <w:r w:rsidRPr="002A6C6C">
        <w:rPr>
          <w:rFonts w:eastAsia="Times New Roman"/>
        </w:rPr>
        <w:t>themselves? If so, please provide the results. (We note that the Commission Staff has indicated that it conducted additional analytics to evaluate the use of wage factors in addition to or instead of median income, but none of the alternatives tested appeared to involve the Medicare Hospital Wage Index, and none of them appeared to use a direct adjustment of any alternate wage factor.)</w:t>
      </w:r>
    </w:p>
    <w:p w14:paraId="1AD2FD23" w14:textId="77777777" w:rsidR="003D559A" w:rsidRPr="006727BD" w:rsidRDefault="003D559A" w:rsidP="003D559A">
      <w:pPr>
        <w:pStyle w:val="BodyText"/>
        <w:spacing w:line="244" w:lineRule="auto"/>
        <w:ind w:left="875" w:right="769" w:firstLine="4"/>
        <w:rPr>
          <w:color w:val="4F81BD" w:themeColor="accent1"/>
          <w:w w:val="110"/>
        </w:rPr>
      </w:pPr>
    </w:p>
    <w:p w14:paraId="2B45D87F" w14:textId="77777777" w:rsidR="003D559A" w:rsidRPr="002A6C6C" w:rsidRDefault="003D559A" w:rsidP="002A6C6C">
      <w:pPr>
        <w:ind w:left="720"/>
        <w:rPr>
          <w:rFonts w:eastAsia="Times New Roman"/>
          <w:color w:val="4F81BD" w:themeColor="accent1"/>
        </w:rPr>
      </w:pPr>
      <w:r w:rsidRPr="002A6C6C">
        <w:rPr>
          <w:rFonts w:eastAsia="Times New Roman"/>
          <w:color w:val="4F81BD" w:themeColor="accent1"/>
        </w:rPr>
        <w:t>We have not adopted a model using hospital wages as they are a product of the healthcare system and should not be part of a comparison with national benchmarks which is intended to estimate Maryland costs in the absence of the current healthcare system.   In contrast the ICC compares hospitals with each other within Maryland and we are focused on relative costs within the existing system not a comparison to other systems.   As discussed in our February 2022 memo we have modeled other wage indexes, as they are more applicable to adjust for "input prices" to the healthcare system rather than prices generated by the health system. In that memo we describe various models using various Bureau of Labor Statistics (BLS) wage measures as part of a regression approach as well as incorporating BLS in the matching algorithms.   As input prices are not directly reflected in payment amounts a "direct" adjustment was not used because it is too deterministic (removing a dollar for a dollar) and not applicable for these measures. "Direct" adjustment is more appropriate if the correlation is very strong (such as HCC</w:t>
      </w:r>
      <w:proofErr w:type="gramStart"/>
      <w:r w:rsidRPr="002A6C6C">
        <w:rPr>
          <w:rFonts w:eastAsia="Times New Roman"/>
          <w:color w:val="4F81BD" w:themeColor="accent1"/>
        </w:rPr>
        <w:t>)</w:t>
      </w:r>
      <w:proofErr w:type="gramEnd"/>
      <w:r w:rsidRPr="002A6C6C">
        <w:rPr>
          <w:rFonts w:eastAsia="Times New Roman"/>
          <w:color w:val="4F81BD" w:themeColor="accent1"/>
        </w:rPr>
        <w:t xml:space="preserve"> or payment values are reliably quantifiable (Medical education). </w:t>
      </w:r>
    </w:p>
    <w:p w14:paraId="318F3D21" w14:textId="77777777" w:rsidR="003D559A" w:rsidRPr="00D52A02" w:rsidRDefault="003D559A" w:rsidP="003D559A">
      <w:pPr>
        <w:pStyle w:val="BodyText"/>
        <w:spacing w:line="244" w:lineRule="auto"/>
        <w:ind w:left="875" w:right="769" w:firstLine="4"/>
        <w:rPr>
          <w:color w:val="4F81BD" w:themeColor="accent1"/>
          <w:w w:val="110"/>
        </w:rPr>
      </w:pPr>
    </w:p>
    <w:p w14:paraId="5F28EF48" w14:textId="77777777" w:rsidR="003D559A" w:rsidRDefault="003D559A" w:rsidP="003D559A">
      <w:pPr>
        <w:pStyle w:val="BodyText"/>
        <w:spacing w:before="1"/>
      </w:pPr>
    </w:p>
    <w:p w14:paraId="40708442" w14:textId="77777777" w:rsidR="003D559A" w:rsidRPr="002A6C6C" w:rsidRDefault="003D559A" w:rsidP="002A6C6C">
      <w:pPr>
        <w:pStyle w:val="ListParagraph"/>
        <w:numPr>
          <w:ilvl w:val="0"/>
          <w:numId w:val="1"/>
        </w:numPr>
        <w:spacing w:before="100" w:beforeAutospacing="1" w:after="100" w:afterAutospacing="1"/>
        <w:rPr>
          <w:rFonts w:eastAsia="Times New Roman"/>
        </w:rPr>
      </w:pPr>
      <w:r w:rsidRPr="002A6C6C">
        <w:rPr>
          <w:rFonts w:eastAsia="Times New Roman"/>
        </w:rPr>
        <w:t xml:space="preserve">Why has Commission Staff concluded that median income for each county can serve as a proxy for labor market costs when healthcare services represent only about 20% of the employees that comprise the median income of a particular area, which means that median income does not adequately reflect the actual labor costs that hospitals incur (which are then reflected in </w:t>
      </w:r>
      <w:r w:rsidRPr="002A6C6C">
        <w:rPr>
          <w:rFonts w:eastAsia="Times New Roman"/>
        </w:rPr>
        <w:lastRenderedPageBreak/>
        <w:t>prices)? (As indicated in our petition, the remaining 80% of employees in an area can substantially impact that area's median income, as is the case in Wicomico County, which is dominated by low wage occupations.)</w:t>
      </w:r>
    </w:p>
    <w:p w14:paraId="378EAF6B" w14:textId="77777777" w:rsidR="003D559A" w:rsidRDefault="003D559A" w:rsidP="003D559A">
      <w:pPr>
        <w:tabs>
          <w:tab w:val="left" w:pos="882"/>
        </w:tabs>
        <w:spacing w:line="244" w:lineRule="auto"/>
        <w:ind w:right="1075"/>
        <w:rPr>
          <w:color w:val="2A2A2A"/>
          <w:sz w:val="25"/>
        </w:rPr>
      </w:pPr>
    </w:p>
    <w:p w14:paraId="77EC74BC" w14:textId="77777777" w:rsidR="003D559A" w:rsidRPr="002A6C6C" w:rsidRDefault="003D559A" w:rsidP="002A6C6C">
      <w:pPr>
        <w:ind w:left="720"/>
        <w:rPr>
          <w:rFonts w:eastAsia="Times New Roman"/>
          <w:color w:val="4F81BD" w:themeColor="accent1"/>
        </w:rPr>
      </w:pPr>
      <w:r w:rsidRPr="002A6C6C">
        <w:rPr>
          <w:rFonts w:eastAsia="Times New Roman"/>
          <w:color w:val="4F81BD" w:themeColor="accent1"/>
        </w:rPr>
        <w:t xml:space="preserve">Median income was selected because it includes other economic factors in addition to labor costs. Staff also notes that Regional Price Parity, which is a measure of local pricing, was also used in benchmark selection but did not produce logical results due to its close relationship with median income in regression estimates and was dropped from the final regression models.  </w:t>
      </w:r>
    </w:p>
    <w:p w14:paraId="45473A78" w14:textId="77777777" w:rsidR="003D559A" w:rsidRPr="002A6C6C" w:rsidRDefault="003D559A" w:rsidP="002A6C6C">
      <w:pPr>
        <w:ind w:left="720"/>
        <w:rPr>
          <w:rFonts w:eastAsia="Times New Roman"/>
          <w:color w:val="4F81BD" w:themeColor="accent1"/>
        </w:rPr>
      </w:pPr>
    </w:p>
    <w:p w14:paraId="589AF644" w14:textId="77777777" w:rsidR="003D559A" w:rsidRPr="009976C1" w:rsidRDefault="003D559A" w:rsidP="002A6C6C">
      <w:pPr>
        <w:ind w:left="720"/>
        <w:rPr>
          <w:color w:val="4472C4"/>
        </w:rPr>
      </w:pPr>
      <w:r w:rsidRPr="002A6C6C">
        <w:rPr>
          <w:rFonts w:eastAsia="Times New Roman"/>
          <w:color w:val="4F81BD" w:themeColor="accent1"/>
        </w:rPr>
        <w:t>However, based on industry feedback, as described above and in the February memo, we also modeled various health care and overall labor costs indices in addition to and instead of Median Income in the</w:t>
      </w:r>
      <w:r w:rsidRPr="009976C1">
        <w:rPr>
          <w:color w:val="4472C4"/>
        </w:rPr>
        <w:t xml:space="preserve"> selection of benchmark counties as well as an additional factors in regression adjustments</w:t>
      </w:r>
      <w:r>
        <w:rPr>
          <w:color w:val="4472C4"/>
        </w:rPr>
        <w:t xml:space="preserve">. The </w:t>
      </w:r>
      <w:r w:rsidRPr="009976C1">
        <w:rPr>
          <w:color w:val="4472C4"/>
        </w:rPr>
        <w:t>results</w:t>
      </w:r>
      <w:r>
        <w:rPr>
          <w:color w:val="4472C4"/>
        </w:rPr>
        <w:t xml:space="preserve"> </w:t>
      </w:r>
      <w:r w:rsidRPr="009976C1">
        <w:rPr>
          <w:color w:val="4472C4"/>
        </w:rPr>
        <w:t xml:space="preserve">of each variation were </w:t>
      </w:r>
      <w:proofErr w:type="gramStart"/>
      <w:r w:rsidRPr="009976C1">
        <w:rPr>
          <w:color w:val="4472C4"/>
        </w:rPr>
        <w:t>similar to</w:t>
      </w:r>
      <w:proofErr w:type="gramEnd"/>
      <w:r w:rsidRPr="009976C1">
        <w:rPr>
          <w:color w:val="4472C4"/>
        </w:rPr>
        <w:t xml:space="preserve"> </w:t>
      </w:r>
      <w:proofErr w:type="gramStart"/>
      <w:r w:rsidRPr="009976C1">
        <w:rPr>
          <w:color w:val="4472C4"/>
        </w:rPr>
        <w:t>original</w:t>
      </w:r>
      <w:proofErr w:type="gramEnd"/>
      <w:r w:rsidRPr="009976C1">
        <w:rPr>
          <w:color w:val="4472C4"/>
        </w:rPr>
        <w:t xml:space="preserve"> models</w:t>
      </w:r>
      <w:r>
        <w:rPr>
          <w:color w:val="4472C4"/>
        </w:rPr>
        <w:t xml:space="preserve">.  The goal of the benchmarking was to adjust for socio-economic factors without emphasizing any of the health care </w:t>
      </w:r>
      <w:r w:rsidRPr="009976C1">
        <w:rPr>
          <w:color w:val="4472C4"/>
        </w:rPr>
        <w:t xml:space="preserve">market characteristics </w:t>
      </w:r>
      <w:r>
        <w:rPr>
          <w:color w:val="4472C4"/>
        </w:rPr>
        <w:t xml:space="preserve">or outputs as that would lead to a circular outcome where benchmarks predict costs equal to the costs actually incurred. Despite this reservation staff considered the BLS health care market labor index as one of the alternatives in the February memo.  Wicomico does show as having higher labor costs (37% above national average versus 17% in its selected benchmark); it is not clear if Wicomico’s higher wages in the health care sector is a result of Maryland’s hospital rate setting or due to other factors </w:t>
      </w:r>
      <w:r w:rsidRPr="009976C1">
        <w:rPr>
          <w:color w:val="4472C4"/>
        </w:rPr>
        <w:t>specific to Wicomico’s socio-economic environment</w:t>
      </w:r>
      <w:r>
        <w:rPr>
          <w:color w:val="4472C4"/>
        </w:rPr>
        <w:t xml:space="preserve">.  More importantly, introducing the </w:t>
      </w:r>
      <w:r w:rsidRPr="009976C1">
        <w:rPr>
          <w:color w:val="4472C4"/>
        </w:rPr>
        <w:t>higher wage for health care workers in Wicomico</w:t>
      </w:r>
      <w:r>
        <w:rPr>
          <w:color w:val="4472C4"/>
        </w:rPr>
        <w:t xml:space="preserve"> reflected in the BLS health care market labor index into the demographic regression did not substantially change the results, suggesting this difference was already adequately accounted for by other aspects of the benchmark process. </w:t>
      </w:r>
    </w:p>
    <w:p w14:paraId="4BE68564" w14:textId="77777777" w:rsidR="003D559A" w:rsidRPr="00F85C96" w:rsidRDefault="003D559A" w:rsidP="003D559A">
      <w:pPr>
        <w:pStyle w:val="BodyText"/>
        <w:spacing w:line="244" w:lineRule="auto"/>
        <w:ind w:left="875" w:right="769" w:firstLine="4"/>
        <w:rPr>
          <w:color w:val="4F81BD" w:themeColor="accent1"/>
          <w:w w:val="110"/>
        </w:rPr>
      </w:pPr>
    </w:p>
    <w:p w14:paraId="65981C60" w14:textId="77777777" w:rsidR="003D559A" w:rsidRPr="00E96514" w:rsidRDefault="003D559A" w:rsidP="00E96514">
      <w:pPr>
        <w:pStyle w:val="ListParagraph"/>
        <w:numPr>
          <w:ilvl w:val="0"/>
          <w:numId w:val="1"/>
        </w:numPr>
        <w:spacing w:before="100" w:beforeAutospacing="1" w:after="100" w:afterAutospacing="1"/>
        <w:rPr>
          <w:rFonts w:eastAsia="Times New Roman"/>
        </w:rPr>
      </w:pPr>
      <w:proofErr w:type="gramStart"/>
      <w:r w:rsidRPr="00E96514">
        <w:rPr>
          <w:rFonts w:eastAsia="Times New Roman"/>
        </w:rPr>
        <w:t>In light of</w:t>
      </w:r>
      <w:proofErr w:type="gramEnd"/>
      <w:r w:rsidRPr="00E96514">
        <w:rPr>
          <w:rFonts w:eastAsia="Times New Roman"/>
        </w:rPr>
        <w:t xml:space="preserve"> the Commission's focus on health equity and charge to address health equity and disparities in all of its</w:t>
      </w:r>
      <w:r w:rsidRPr="00E96514">
        <w:rPr>
          <w:rFonts w:eastAsia="Times New Roman"/>
        </w:rPr>
        <w:tab/>
        <w:t>policies, did the Commission Staff consider the TCOC benchmarking methodology's impact on health equity, including its impact on the state's most significantly disadvantaged populations, either when developing the methodology itself or when incorporating the methodology's results into financial policies that Staff developed? If so, how? If not, why not? For example:</w:t>
      </w:r>
    </w:p>
    <w:p w14:paraId="77AF7C61" w14:textId="77777777" w:rsidR="003D559A" w:rsidRPr="00E96514" w:rsidRDefault="003D559A" w:rsidP="00E96514">
      <w:pPr>
        <w:pStyle w:val="ListParagraph"/>
        <w:numPr>
          <w:ilvl w:val="0"/>
          <w:numId w:val="7"/>
        </w:numPr>
        <w:spacing w:before="100" w:beforeAutospacing="1" w:after="100" w:afterAutospacing="1"/>
        <w:rPr>
          <w:rFonts w:eastAsia="Times New Roman"/>
        </w:rPr>
      </w:pPr>
      <w:r w:rsidRPr="00E96514">
        <w:rPr>
          <w:rFonts w:eastAsia="Times New Roman"/>
        </w:rPr>
        <w:t>Did Commission Staff consider the health equity implications of comparing Wicomico, Worcester, and Somerset Counties (which are among the state's most disadvantaged counties, and which are outliers in terms of having a low TCOC benchmark despite such disadvantages) to counties in states with generally poor health outcomes?</w:t>
      </w:r>
    </w:p>
    <w:p w14:paraId="22437A3E" w14:textId="77777777" w:rsidR="003D559A" w:rsidRPr="00E96514" w:rsidRDefault="003D559A" w:rsidP="00E96514">
      <w:pPr>
        <w:spacing w:before="100" w:beforeAutospacing="1" w:after="100" w:afterAutospacing="1"/>
        <w:ind w:left="720"/>
        <w:rPr>
          <w:rFonts w:eastAsia="Times New Roman"/>
        </w:rPr>
      </w:pPr>
    </w:p>
    <w:p w14:paraId="11B570AC" w14:textId="77777777" w:rsidR="003D559A" w:rsidRPr="00E96514" w:rsidRDefault="003D559A" w:rsidP="00E96514">
      <w:pPr>
        <w:pStyle w:val="ListParagraph"/>
        <w:numPr>
          <w:ilvl w:val="0"/>
          <w:numId w:val="7"/>
        </w:numPr>
        <w:spacing w:before="100" w:beforeAutospacing="1" w:after="100" w:afterAutospacing="1"/>
        <w:rPr>
          <w:rFonts w:eastAsia="Times New Roman"/>
        </w:rPr>
      </w:pPr>
      <w:r w:rsidRPr="00E96514">
        <w:rPr>
          <w:rFonts w:eastAsia="Times New Roman"/>
        </w:rPr>
        <w:t>Did Commission Staff consider how hospitals located in the state's most disadvantaged areas (including the Lower Eastern Shore) would be impacted under a methodology that assessed their performance through the lens of the national health care system?</w:t>
      </w:r>
    </w:p>
    <w:p w14:paraId="78B02948" w14:textId="77777777" w:rsidR="003D559A" w:rsidRPr="00E96514" w:rsidRDefault="003D559A" w:rsidP="00E96514">
      <w:pPr>
        <w:spacing w:before="100" w:beforeAutospacing="1" w:after="100" w:afterAutospacing="1"/>
        <w:ind w:left="720"/>
        <w:rPr>
          <w:rFonts w:eastAsia="Times New Roman"/>
        </w:rPr>
      </w:pPr>
    </w:p>
    <w:p w14:paraId="192CB535" w14:textId="77777777" w:rsidR="003D559A" w:rsidRPr="00E96514" w:rsidRDefault="003D559A" w:rsidP="00E96514">
      <w:pPr>
        <w:pStyle w:val="ListParagraph"/>
        <w:numPr>
          <w:ilvl w:val="0"/>
          <w:numId w:val="7"/>
        </w:numPr>
        <w:spacing w:before="100" w:beforeAutospacing="1" w:after="100" w:afterAutospacing="1"/>
        <w:rPr>
          <w:rFonts w:eastAsia="Times New Roman"/>
        </w:rPr>
      </w:pPr>
      <w:r w:rsidRPr="00E96514">
        <w:rPr>
          <w:rFonts w:eastAsia="Times New Roman"/>
        </w:rPr>
        <w:lastRenderedPageBreak/>
        <w:t xml:space="preserve">Did Commission Staff consider the health equity implications of its regression model </w:t>
      </w:r>
      <w:proofErr w:type="gramStart"/>
      <w:r w:rsidRPr="00E96514">
        <w:rPr>
          <w:rFonts w:eastAsia="Times New Roman"/>
        </w:rPr>
        <w:t>in light of the fact that</w:t>
      </w:r>
      <w:proofErr w:type="gramEnd"/>
      <w:r w:rsidRPr="00E96514">
        <w:rPr>
          <w:rFonts w:eastAsia="Times New Roman"/>
        </w:rPr>
        <w:t xml:space="preserve"> the use of median income to adjust for wage differences made Maryland's wealthier areas look even more favorable in terms of TCOC performance than they otherwise would have been, while not having the same impact on relatively poor, rural communities?</w:t>
      </w:r>
    </w:p>
    <w:p w14:paraId="63306414" w14:textId="77777777" w:rsidR="003D559A" w:rsidRPr="007B26A8" w:rsidRDefault="003D559A" w:rsidP="003D559A">
      <w:pPr>
        <w:pStyle w:val="ListParagraph"/>
        <w:rPr>
          <w:rFonts w:ascii="Times New Roman"/>
          <w:color w:val="262626"/>
          <w:sz w:val="28"/>
        </w:rPr>
      </w:pPr>
    </w:p>
    <w:p w14:paraId="527C4B73" w14:textId="77777777" w:rsidR="003D559A" w:rsidRPr="009A59B1" w:rsidRDefault="003D559A" w:rsidP="009A59B1">
      <w:pPr>
        <w:ind w:left="720"/>
        <w:rPr>
          <w:rFonts w:eastAsia="Times New Roman"/>
          <w:color w:val="4F81BD" w:themeColor="accent1"/>
        </w:rPr>
      </w:pPr>
    </w:p>
    <w:p w14:paraId="0567621B" w14:textId="77777777" w:rsidR="003D559A" w:rsidRPr="009A59B1" w:rsidRDefault="003D559A" w:rsidP="009A59B1">
      <w:pPr>
        <w:ind w:left="720"/>
        <w:rPr>
          <w:rFonts w:eastAsia="Times New Roman"/>
          <w:color w:val="4F81BD" w:themeColor="accent1"/>
        </w:rPr>
      </w:pPr>
      <w:r w:rsidRPr="009A59B1">
        <w:rPr>
          <w:rFonts w:eastAsia="Times New Roman"/>
          <w:color w:val="4F81BD" w:themeColor="accent1"/>
        </w:rPr>
        <w:t>The benchmarking methodology considered health equity through the inclusion of HCC risk scores via a direct adjustment and deep poverty through the regression adjustment.  Both these factors result in higher relative benchmarks for areas that have higher levels of comorbidities and higher levels of poverty.    These factors were used in conjunction with Median Income and Regional Price Parity to balance various demographic factors that underly levels of health spending.  Staff also tested several other factors correlated with health disadvantage and showed that the adjustments described above mirrored the results from other statistics.</w:t>
      </w:r>
    </w:p>
    <w:p w14:paraId="6A2B6BCA" w14:textId="77777777" w:rsidR="003D559A" w:rsidRPr="009A59B1" w:rsidRDefault="003D559A" w:rsidP="009A59B1">
      <w:pPr>
        <w:ind w:left="720"/>
        <w:rPr>
          <w:rFonts w:eastAsia="Times New Roman"/>
          <w:color w:val="4F81BD" w:themeColor="accent1"/>
        </w:rPr>
      </w:pPr>
    </w:p>
    <w:p w14:paraId="1ED31740" w14:textId="77777777" w:rsidR="003D559A" w:rsidRPr="009A59B1" w:rsidRDefault="003D559A" w:rsidP="009A59B1">
      <w:pPr>
        <w:ind w:left="720"/>
        <w:rPr>
          <w:rFonts w:eastAsia="Times New Roman"/>
          <w:color w:val="4F81BD" w:themeColor="accent1"/>
        </w:rPr>
      </w:pPr>
      <w:r w:rsidRPr="009A59B1">
        <w:rPr>
          <w:rFonts w:eastAsia="Times New Roman"/>
          <w:color w:val="4F81BD" w:themeColor="accent1"/>
        </w:rPr>
        <w:t xml:space="preserve">As has been addressed in multiple forums the benchmarks did not intend to measure the level of spending necessary to achieve specified health outcomes and thus health outcomes are not directly considered in the benchmarking assessment (which is consistent with the State’s current Medicare test).  </w:t>
      </w:r>
    </w:p>
    <w:p w14:paraId="232FB730" w14:textId="77777777" w:rsidR="003D559A" w:rsidRPr="009A59B1" w:rsidRDefault="003D559A" w:rsidP="009A59B1">
      <w:pPr>
        <w:ind w:left="720"/>
        <w:rPr>
          <w:rFonts w:eastAsia="Times New Roman"/>
          <w:color w:val="4F81BD" w:themeColor="accent1"/>
        </w:rPr>
      </w:pPr>
    </w:p>
    <w:p w14:paraId="7893641B" w14:textId="77777777" w:rsidR="003D559A" w:rsidRPr="009A59B1" w:rsidRDefault="003D559A" w:rsidP="009A59B1">
      <w:pPr>
        <w:ind w:left="720"/>
        <w:rPr>
          <w:rFonts w:eastAsia="Times New Roman"/>
          <w:color w:val="4F81BD" w:themeColor="accent1"/>
        </w:rPr>
      </w:pPr>
      <w:r w:rsidRPr="009A59B1">
        <w:rPr>
          <w:rFonts w:eastAsia="Times New Roman"/>
          <w:color w:val="4F81BD" w:themeColor="accent1"/>
        </w:rPr>
        <w:t>This question extends to whether health equity factors were considered “when incorporating the methodology's results into financial policies that Staff developed”, which would require a review of all Commission policies that utilize the benchmarking, which is beyond the scope of this memo.</w:t>
      </w:r>
    </w:p>
    <w:p w14:paraId="49745E70" w14:textId="77777777" w:rsidR="003D559A" w:rsidRPr="009A59B1" w:rsidRDefault="003D559A" w:rsidP="009A59B1">
      <w:pPr>
        <w:ind w:left="720"/>
        <w:rPr>
          <w:rFonts w:eastAsia="Times New Roman"/>
          <w:color w:val="4F81BD" w:themeColor="accent1"/>
        </w:rPr>
      </w:pPr>
    </w:p>
    <w:p w14:paraId="1057C7A1" w14:textId="77777777" w:rsidR="003D559A" w:rsidRPr="009A59B1" w:rsidRDefault="003D559A" w:rsidP="009A59B1">
      <w:pPr>
        <w:ind w:left="720"/>
        <w:rPr>
          <w:rFonts w:eastAsia="Times New Roman"/>
          <w:color w:val="4F81BD" w:themeColor="accent1"/>
        </w:rPr>
      </w:pPr>
      <w:r w:rsidRPr="009A59B1">
        <w:rPr>
          <w:rFonts w:eastAsia="Times New Roman"/>
          <w:color w:val="4F81BD" w:themeColor="accent1"/>
        </w:rPr>
        <w:t xml:space="preserve">Staff notes that what the benchmarking shows, which is consistent with other available analyses, is that the added Medicare costs in Maryland are concentrated in rural areas and the Baltimore area.   Therefore, the State has already implicitly made the judgement to invest extra resources in these disadvantaged areas and all the benchmarking is doing is quantifying the extent of that additional investment.   None of the resulting policies make significant cuts to these additional investments, in the short term, but instead set long-term goals of moving towards benchmark spending levels which will enable the State to meet its CMS targets (for example the MPA targets were set to eliminate the difference over 15 years).  There remains plenty of time for stakeholders to illustrate the benefits of these extra investments by demonstrating superior health outcomes versus their benchmarks, or versus other areas of the State, to justify the additional funding which has already been received.   </w:t>
      </w:r>
    </w:p>
    <w:p w14:paraId="12923645" w14:textId="77777777" w:rsidR="003D559A" w:rsidRPr="007B26A8" w:rsidRDefault="003D559A" w:rsidP="003D559A">
      <w:pPr>
        <w:tabs>
          <w:tab w:val="left" w:pos="1701"/>
        </w:tabs>
        <w:spacing w:line="244" w:lineRule="auto"/>
        <w:ind w:right="778"/>
        <w:rPr>
          <w:rFonts w:ascii="Times New Roman"/>
          <w:color w:val="262626"/>
          <w:sz w:val="28"/>
        </w:rPr>
      </w:pPr>
    </w:p>
    <w:p w14:paraId="0E38B32F" w14:textId="77777777" w:rsidR="003D559A" w:rsidRDefault="003D559A" w:rsidP="003D559A">
      <w:pPr>
        <w:pStyle w:val="BodyText"/>
        <w:spacing w:before="9"/>
        <w:rPr>
          <w:sz w:val="24"/>
        </w:rPr>
      </w:pPr>
    </w:p>
    <w:p w14:paraId="303EDBCE" w14:textId="77777777" w:rsidR="003D559A" w:rsidRPr="00A0606A" w:rsidRDefault="003D559A" w:rsidP="00A0606A">
      <w:pPr>
        <w:pStyle w:val="ListParagraph"/>
        <w:numPr>
          <w:ilvl w:val="0"/>
          <w:numId w:val="1"/>
        </w:numPr>
        <w:spacing w:before="100" w:beforeAutospacing="1" w:after="100" w:afterAutospacing="1"/>
        <w:rPr>
          <w:rFonts w:eastAsia="Times New Roman"/>
        </w:rPr>
      </w:pPr>
      <w:r w:rsidRPr="00A0606A">
        <w:rPr>
          <w:rFonts w:eastAsia="Times New Roman"/>
        </w:rPr>
        <w:t>Did the Commission Staff consider including any price-levelling mechanism in its methodology to neutralize any unfair effects of comparing a rural county anchored by a regional referral hospital (such as Wicomico County) to benchmark rural counties that are likely predominantly served by non-tertiary hospitals?</w:t>
      </w:r>
    </w:p>
    <w:p w14:paraId="76833D7B" w14:textId="77777777" w:rsidR="003D559A" w:rsidRDefault="003D559A" w:rsidP="003D559A">
      <w:pPr>
        <w:tabs>
          <w:tab w:val="left" w:pos="985"/>
        </w:tabs>
        <w:spacing w:line="242" w:lineRule="auto"/>
        <w:rPr>
          <w:color w:val="262626"/>
          <w:sz w:val="25"/>
        </w:rPr>
      </w:pPr>
    </w:p>
    <w:p w14:paraId="23DA9B1C" w14:textId="77777777" w:rsidR="003D559A" w:rsidRPr="00A0606A" w:rsidRDefault="003D559A" w:rsidP="003D559A">
      <w:pPr>
        <w:pStyle w:val="BodyText"/>
        <w:ind w:left="875" w:right="769" w:firstLine="4"/>
        <w:rPr>
          <w:rFonts w:ascii="Calibri" w:eastAsia="Times New Roman" w:hAnsi="Calibri" w:cs="Calibri"/>
          <w:color w:val="4F81BD" w:themeColor="accent1"/>
          <w:sz w:val="22"/>
          <w:szCs w:val="22"/>
        </w:rPr>
      </w:pPr>
      <w:r w:rsidRPr="00A0606A">
        <w:rPr>
          <w:rFonts w:ascii="Calibri" w:eastAsia="Times New Roman" w:hAnsi="Calibri" w:cs="Calibri"/>
          <w:color w:val="4F81BD" w:themeColor="accent1"/>
          <w:sz w:val="22"/>
          <w:szCs w:val="22"/>
        </w:rPr>
        <w:t xml:space="preserve">No Staff did not include such a mechanism.  The presence of a regional referral </w:t>
      </w:r>
      <w:r w:rsidRPr="00A0606A">
        <w:rPr>
          <w:rFonts w:ascii="Calibri" w:eastAsia="Times New Roman" w:hAnsi="Calibri" w:cs="Calibri"/>
          <w:color w:val="4F81BD" w:themeColor="accent1"/>
          <w:sz w:val="22"/>
          <w:szCs w:val="22"/>
        </w:rPr>
        <w:lastRenderedPageBreak/>
        <w:t xml:space="preserve">hospital is an artifact of system design, and the goal of the benchmarks was to estimate costs absent system design.  Similarly, the benchmarks did not limit Baltimore to comparators with two major academic medical centers, as to do so would be to assume a major aspect of cost.  </w:t>
      </w:r>
    </w:p>
    <w:p w14:paraId="147D4BBA" w14:textId="77777777" w:rsidR="003D559A" w:rsidRPr="00A0606A" w:rsidRDefault="003D559A" w:rsidP="003D559A">
      <w:pPr>
        <w:pStyle w:val="BodyText"/>
        <w:ind w:left="875" w:right="769" w:firstLine="4"/>
        <w:rPr>
          <w:rFonts w:ascii="Calibri" w:eastAsia="Times New Roman" w:hAnsi="Calibri" w:cs="Calibri"/>
          <w:color w:val="4F81BD" w:themeColor="accent1"/>
          <w:sz w:val="22"/>
          <w:szCs w:val="22"/>
        </w:rPr>
      </w:pPr>
    </w:p>
    <w:p w14:paraId="25CEEE25" w14:textId="77777777" w:rsidR="003D559A" w:rsidRPr="00A0606A" w:rsidRDefault="003D559A" w:rsidP="003D559A">
      <w:pPr>
        <w:pStyle w:val="BodyText"/>
        <w:ind w:left="875" w:right="769" w:firstLine="4"/>
        <w:rPr>
          <w:rFonts w:ascii="Calibri" w:eastAsia="Times New Roman" w:hAnsi="Calibri" w:cs="Calibri"/>
          <w:color w:val="4F81BD" w:themeColor="accent1"/>
          <w:sz w:val="22"/>
          <w:szCs w:val="22"/>
        </w:rPr>
      </w:pPr>
      <w:r w:rsidRPr="00A0606A">
        <w:rPr>
          <w:rFonts w:ascii="Calibri" w:eastAsia="Times New Roman" w:hAnsi="Calibri" w:cs="Calibri"/>
          <w:color w:val="4F81BD" w:themeColor="accent1"/>
          <w:sz w:val="22"/>
          <w:szCs w:val="22"/>
        </w:rPr>
        <w:t>Also, Staff note that the benchmarks are population based; therefore, the costs of higher-level care are included wherever it is delivered.  If that care is being delivered at urban medical centers in comparator counties, Wicomico County residents should receive a cost advantage from the presence from the local referral center. The question assumes that all comparator counties are in deeply rural areas where access to tertiary care would be restricted. To test this theory Staff selected the first 5 peer counties for Wicomico (without repeating a State) in the data table released by the HSCRC and calculated their distance from an urban area (Page, Iowa - Omaha, 1 hour 18 minutes; Fayette Illinois – St. Louis 1’20; Suwannee, Florida – Gainesville 1’25; Anderson, Kentucky – Lexington 0’51; Miami, Indiana – Fort Wayne 1’13).  All 5 were within 90 minutes travel time of an urban center where all levels of care would be available.  Therefore, it seems that the availability of tertiary care is not that remote for any of these counties and the presence of an efficient local referral center ought to put Wicomico County in a strong cost position versus these comparator counties if they do not have a similar facility.</w:t>
      </w:r>
    </w:p>
    <w:p w14:paraId="0E92D78A" w14:textId="77777777" w:rsidR="003D559A" w:rsidRPr="00A0606A" w:rsidRDefault="003D559A" w:rsidP="003D559A">
      <w:pPr>
        <w:pStyle w:val="BodyText"/>
        <w:ind w:left="875" w:right="769" w:firstLine="4"/>
        <w:rPr>
          <w:rFonts w:ascii="Calibri" w:eastAsia="Times New Roman" w:hAnsi="Calibri" w:cs="Calibri"/>
          <w:color w:val="4F81BD" w:themeColor="accent1"/>
          <w:sz w:val="22"/>
          <w:szCs w:val="22"/>
        </w:rPr>
      </w:pPr>
    </w:p>
    <w:p w14:paraId="3263714C" w14:textId="77777777" w:rsidR="003D559A" w:rsidRPr="00A0606A" w:rsidRDefault="003D559A" w:rsidP="003D559A">
      <w:pPr>
        <w:pStyle w:val="BodyText"/>
        <w:ind w:left="875" w:right="769" w:firstLine="4"/>
        <w:rPr>
          <w:rFonts w:ascii="Calibri" w:eastAsia="Times New Roman" w:hAnsi="Calibri" w:cs="Calibri"/>
          <w:color w:val="4F81BD" w:themeColor="accent1"/>
          <w:sz w:val="22"/>
          <w:szCs w:val="22"/>
        </w:rPr>
      </w:pPr>
      <w:r w:rsidRPr="00A0606A">
        <w:rPr>
          <w:rFonts w:ascii="Calibri" w:eastAsia="Times New Roman" w:hAnsi="Calibri" w:cs="Calibri"/>
          <w:color w:val="4F81BD" w:themeColor="accent1"/>
          <w:sz w:val="22"/>
          <w:szCs w:val="22"/>
        </w:rPr>
        <w:t>Finally, Staff identified 6 counties within the Wicomico County benchmark that have a CMS-qualified Regional Referral Center.   The average cost in these counties was within +/- 2% of the overall average cost in the benchmark counties (the result varies depending on which measure of cost is used).  This suggests the presence of a Regional Referral Center is not definitive in terms of per capita cost.</w:t>
      </w:r>
    </w:p>
    <w:p w14:paraId="2BFE31E0" w14:textId="77777777" w:rsidR="003D559A" w:rsidRPr="00A0606A" w:rsidRDefault="003D559A" w:rsidP="003D559A">
      <w:pPr>
        <w:pStyle w:val="BodyText"/>
        <w:spacing w:line="244" w:lineRule="auto"/>
        <w:ind w:left="875" w:right="769" w:firstLine="4"/>
        <w:rPr>
          <w:rFonts w:ascii="Calibri" w:eastAsia="Times New Roman" w:hAnsi="Calibri" w:cs="Calibri"/>
          <w:color w:val="4F81BD" w:themeColor="accent1"/>
          <w:sz w:val="22"/>
          <w:szCs w:val="22"/>
        </w:rPr>
      </w:pPr>
    </w:p>
    <w:p w14:paraId="04CCC031" w14:textId="77777777" w:rsidR="00D01A60" w:rsidRPr="0097422E" w:rsidRDefault="00D01A60" w:rsidP="00552656">
      <w:pPr>
        <w:spacing w:after="200" w:line="276" w:lineRule="auto"/>
        <w:rPr>
          <w:rFonts w:eastAsia="Times New Roman"/>
          <w:color w:val="4F81BD" w:themeColor="accent1"/>
        </w:rPr>
      </w:pPr>
    </w:p>
    <w:sectPr w:rsidR="00D01A60" w:rsidRPr="0097422E" w:rsidSect="006642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32A15"/>
    <w:multiLevelType w:val="multilevel"/>
    <w:tmpl w:val="3B5ECE0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C8C513C"/>
    <w:multiLevelType w:val="hybridMultilevel"/>
    <w:tmpl w:val="B9E4EA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6BA5545"/>
    <w:multiLevelType w:val="hybridMultilevel"/>
    <w:tmpl w:val="E61075C8"/>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 w15:restartNumberingAfterBreak="0">
    <w:nsid w:val="5A0F416D"/>
    <w:multiLevelType w:val="hybridMultilevel"/>
    <w:tmpl w:val="26C478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1232BC1"/>
    <w:multiLevelType w:val="hybridMultilevel"/>
    <w:tmpl w:val="9F7A9318"/>
    <w:lvl w:ilvl="0" w:tplc="831AFAFC">
      <w:start w:val="1"/>
      <w:numFmt w:val="decimal"/>
      <w:lvlText w:val="%1."/>
      <w:lvlJc w:val="left"/>
      <w:pPr>
        <w:ind w:left="879" w:hanging="407"/>
        <w:jc w:val="right"/>
      </w:pPr>
      <w:rPr>
        <w:rFonts w:hint="default"/>
        <w:spacing w:val="-1"/>
        <w:w w:val="108"/>
        <w:lang w:val="en-US" w:eastAsia="en-US" w:bidi="ar-SA"/>
      </w:rPr>
    </w:lvl>
    <w:lvl w:ilvl="1" w:tplc="26C23DAE">
      <w:start w:val="1"/>
      <w:numFmt w:val="lowerLetter"/>
      <w:lvlText w:val="%2."/>
      <w:lvlJc w:val="left"/>
      <w:pPr>
        <w:ind w:left="1701" w:hanging="399"/>
      </w:pPr>
      <w:rPr>
        <w:rFonts w:hint="default"/>
        <w:spacing w:val="-1"/>
        <w:w w:val="106"/>
        <w:lang w:val="en-US" w:eastAsia="en-US" w:bidi="ar-SA"/>
      </w:rPr>
    </w:lvl>
    <w:lvl w:ilvl="2" w:tplc="A62EA936">
      <w:numFmt w:val="bullet"/>
      <w:lvlText w:val="•"/>
      <w:lvlJc w:val="left"/>
      <w:pPr>
        <w:ind w:left="2644" w:hanging="399"/>
      </w:pPr>
      <w:rPr>
        <w:rFonts w:hint="default"/>
        <w:lang w:val="en-US" w:eastAsia="en-US" w:bidi="ar-SA"/>
      </w:rPr>
    </w:lvl>
    <w:lvl w:ilvl="3" w:tplc="F83CB8CC">
      <w:numFmt w:val="bullet"/>
      <w:lvlText w:val="•"/>
      <w:lvlJc w:val="left"/>
      <w:pPr>
        <w:ind w:left="3588" w:hanging="399"/>
      </w:pPr>
      <w:rPr>
        <w:rFonts w:hint="default"/>
        <w:lang w:val="en-US" w:eastAsia="en-US" w:bidi="ar-SA"/>
      </w:rPr>
    </w:lvl>
    <w:lvl w:ilvl="4" w:tplc="1D64ED2A">
      <w:numFmt w:val="bullet"/>
      <w:lvlText w:val="•"/>
      <w:lvlJc w:val="left"/>
      <w:pPr>
        <w:ind w:left="4533" w:hanging="399"/>
      </w:pPr>
      <w:rPr>
        <w:rFonts w:hint="default"/>
        <w:lang w:val="en-US" w:eastAsia="en-US" w:bidi="ar-SA"/>
      </w:rPr>
    </w:lvl>
    <w:lvl w:ilvl="5" w:tplc="29E6AB68">
      <w:numFmt w:val="bullet"/>
      <w:lvlText w:val="•"/>
      <w:lvlJc w:val="left"/>
      <w:pPr>
        <w:ind w:left="5477" w:hanging="399"/>
      </w:pPr>
      <w:rPr>
        <w:rFonts w:hint="default"/>
        <w:lang w:val="en-US" w:eastAsia="en-US" w:bidi="ar-SA"/>
      </w:rPr>
    </w:lvl>
    <w:lvl w:ilvl="6" w:tplc="3ED61C2E">
      <w:numFmt w:val="bullet"/>
      <w:lvlText w:val="•"/>
      <w:lvlJc w:val="left"/>
      <w:pPr>
        <w:ind w:left="6422" w:hanging="399"/>
      </w:pPr>
      <w:rPr>
        <w:rFonts w:hint="default"/>
        <w:lang w:val="en-US" w:eastAsia="en-US" w:bidi="ar-SA"/>
      </w:rPr>
    </w:lvl>
    <w:lvl w:ilvl="7" w:tplc="549EA0D2">
      <w:numFmt w:val="bullet"/>
      <w:lvlText w:val="•"/>
      <w:lvlJc w:val="left"/>
      <w:pPr>
        <w:ind w:left="7366" w:hanging="399"/>
      </w:pPr>
      <w:rPr>
        <w:rFonts w:hint="default"/>
        <w:lang w:val="en-US" w:eastAsia="en-US" w:bidi="ar-SA"/>
      </w:rPr>
    </w:lvl>
    <w:lvl w:ilvl="8" w:tplc="23E6A2EA">
      <w:numFmt w:val="bullet"/>
      <w:lvlText w:val="•"/>
      <w:lvlJc w:val="left"/>
      <w:pPr>
        <w:ind w:left="8311" w:hanging="399"/>
      </w:pPr>
      <w:rPr>
        <w:rFonts w:hint="default"/>
        <w:lang w:val="en-US" w:eastAsia="en-US" w:bidi="ar-SA"/>
      </w:rPr>
    </w:lvl>
  </w:abstractNum>
  <w:num w:numId="1" w16cid:durableId="1975673814">
    <w:abstractNumId w:val="3"/>
  </w:num>
  <w:num w:numId="2" w16cid:durableId="6865682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0159720">
    <w:abstractNumId w:val="3"/>
  </w:num>
  <w:num w:numId="4" w16cid:durableId="1123502086">
    <w:abstractNumId w:val="1"/>
  </w:num>
  <w:num w:numId="5" w16cid:durableId="7541358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2925656">
    <w:abstractNumId w:val="4"/>
  </w:num>
  <w:num w:numId="7" w16cid:durableId="2843170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D62"/>
    <w:rsid w:val="0002568E"/>
    <w:rsid w:val="00055316"/>
    <w:rsid w:val="000848AB"/>
    <w:rsid w:val="000B4124"/>
    <w:rsid w:val="000F04A8"/>
    <w:rsid w:val="00156D62"/>
    <w:rsid w:val="001C452B"/>
    <w:rsid w:val="001E21EC"/>
    <w:rsid w:val="002034EF"/>
    <w:rsid w:val="002108ED"/>
    <w:rsid w:val="002A6C6C"/>
    <w:rsid w:val="002C4175"/>
    <w:rsid w:val="002F1D49"/>
    <w:rsid w:val="00345B68"/>
    <w:rsid w:val="003624D9"/>
    <w:rsid w:val="003D559A"/>
    <w:rsid w:val="003E1E76"/>
    <w:rsid w:val="003E4D2B"/>
    <w:rsid w:val="003F4F88"/>
    <w:rsid w:val="003F4FBC"/>
    <w:rsid w:val="00423953"/>
    <w:rsid w:val="00424FF8"/>
    <w:rsid w:val="00446934"/>
    <w:rsid w:val="004B5841"/>
    <w:rsid w:val="004E6671"/>
    <w:rsid w:val="00516B86"/>
    <w:rsid w:val="00527DF4"/>
    <w:rsid w:val="00531F3C"/>
    <w:rsid w:val="00552656"/>
    <w:rsid w:val="005E5734"/>
    <w:rsid w:val="005E617C"/>
    <w:rsid w:val="005E7826"/>
    <w:rsid w:val="00626E9C"/>
    <w:rsid w:val="00660A3D"/>
    <w:rsid w:val="00664266"/>
    <w:rsid w:val="006737CA"/>
    <w:rsid w:val="00676022"/>
    <w:rsid w:val="00693879"/>
    <w:rsid w:val="007072E9"/>
    <w:rsid w:val="00747486"/>
    <w:rsid w:val="00772F9C"/>
    <w:rsid w:val="00775939"/>
    <w:rsid w:val="007F79BB"/>
    <w:rsid w:val="00803A2A"/>
    <w:rsid w:val="00841DBC"/>
    <w:rsid w:val="00844351"/>
    <w:rsid w:val="0085167B"/>
    <w:rsid w:val="00852437"/>
    <w:rsid w:val="00881371"/>
    <w:rsid w:val="00894DC9"/>
    <w:rsid w:val="00896618"/>
    <w:rsid w:val="008A7FB0"/>
    <w:rsid w:val="008E3D9D"/>
    <w:rsid w:val="00946092"/>
    <w:rsid w:val="00970189"/>
    <w:rsid w:val="0097422E"/>
    <w:rsid w:val="00994B76"/>
    <w:rsid w:val="009A59B1"/>
    <w:rsid w:val="009E050D"/>
    <w:rsid w:val="00A0606A"/>
    <w:rsid w:val="00A23C53"/>
    <w:rsid w:val="00A43FCC"/>
    <w:rsid w:val="00A65C25"/>
    <w:rsid w:val="00AA4624"/>
    <w:rsid w:val="00AB1620"/>
    <w:rsid w:val="00B40750"/>
    <w:rsid w:val="00B81112"/>
    <w:rsid w:val="00C15B37"/>
    <w:rsid w:val="00C822D0"/>
    <w:rsid w:val="00C8683C"/>
    <w:rsid w:val="00CE04F4"/>
    <w:rsid w:val="00D01A60"/>
    <w:rsid w:val="00D753E2"/>
    <w:rsid w:val="00DA2803"/>
    <w:rsid w:val="00DE6A5D"/>
    <w:rsid w:val="00E329AA"/>
    <w:rsid w:val="00E46252"/>
    <w:rsid w:val="00E55430"/>
    <w:rsid w:val="00E9005E"/>
    <w:rsid w:val="00E96514"/>
    <w:rsid w:val="00E97904"/>
    <w:rsid w:val="00EC2ED9"/>
    <w:rsid w:val="00EC30F5"/>
    <w:rsid w:val="00EC7A23"/>
    <w:rsid w:val="00ED1999"/>
    <w:rsid w:val="00F8649C"/>
    <w:rsid w:val="00FA3201"/>
    <w:rsid w:val="00FC2DA9"/>
    <w:rsid w:val="00FC6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DE5F0"/>
  <w15:chartTrackingRefBased/>
  <w15:docId w15:val="{55010267-75F7-4AFC-BA58-6768B15D5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D62"/>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56D62"/>
    <w:pPr>
      <w:ind w:left="720"/>
    </w:pPr>
  </w:style>
  <w:style w:type="paragraph" w:styleId="Revision">
    <w:name w:val="Revision"/>
    <w:hidden/>
    <w:uiPriority w:val="99"/>
    <w:semiHidden/>
    <w:rsid w:val="00946092"/>
    <w:pPr>
      <w:spacing w:after="0" w:line="240" w:lineRule="auto"/>
    </w:pPr>
    <w:rPr>
      <w:rFonts w:ascii="Calibri" w:hAnsi="Calibri" w:cs="Calibri"/>
    </w:rPr>
  </w:style>
  <w:style w:type="character" w:styleId="CommentReference">
    <w:name w:val="annotation reference"/>
    <w:basedOn w:val="DefaultParagraphFont"/>
    <w:uiPriority w:val="99"/>
    <w:semiHidden/>
    <w:unhideWhenUsed/>
    <w:rsid w:val="008A7FB0"/>
    <w:rPr>
      <w:sz w:val="16"/>
      <w:szCs w:val="16"/>
    </w:rPr>
  </w:style>
  <w:style w:type="paragraph" w:styleId="CommentText">
    <w:name w:val="annotation text"/>
    <w:basedOn w:val="Normal"/>
    <w:link w:val="CommentTextChar"/>
    <w:uiPriority w:val="99"/>
    <w:unhideWhenUsed/>
    <w:rsid w:val="008A7FB0"/>
    <w:rPr>
      <w:sz w:val="20"/>
      <w:szCs w:val="20"/>
    </w:rPr>
  </w:style>
  <w:style w:type="character" w:customStyle="1" w:styleId="CommentTextChar">
    <w:name w:val="Comment Text Char"/>
    <w:basedOn w:val="DefaultParagraphFont"/>
    <w:link w:val="CommentText"/>
    <w:uiPriority w:val="99"/>
    <w:rsid w:val="008A7FB0"/>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8A7FB0"/>
    <w:rPr>
      <w:b/>
      <w:bCs/>
    </w:rPr>
  </w:style>
  <w:style w:type="character" w:customStyle="1" w:styleId="CommentSubjectChar">
    <w:name w:val="Comment Subject Char"/>
    <w:basedOn w:val="CommentTextChar"/>
    <w:link w:val="CommentSubject"/>
    <w:uiPriority w:val="99"/>
    <w:semiHidden/>
    <w:rsid w:val="008A7FB0"/>
    <w:rPr>
      <w:rFonts w:ascii="Calibri" w:hAnsi="Calibri" w:cs="Calibri"/>
      <w:b/>
      <w:bCs/>
      <w:sz w:val="20"/>
      <w:szCs w:val="20"/>
    </w:rPr>
  </w:style>
  <w:style w:type="table" w:styleId="TableGrid">
    <w:name w:val="Table Grid"/>
    <w:basedOn w:val="TableNormal"/>
    <w:uiPriority w:val="59"/>
    <w:rsid w:val="00E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3D559A"/>
    <w:pPr>
      <w:widowControl w:val="0"/>
      <w:autoSpaceDE w:val="0"/>
      <w:autoSpaceDN w:val="0"/>
    </w:pPr>
    <w:rPr>
      <w:rFonts w:ascii="Arial" w:eastAsia="Arial" w:hAnsi="Arial" w:cs="Arial"/>
      <w:sz w:val="25"/>
      <w:szCs w:val="25"/>
    </w:rPr>
  </w:style>
  <w:style w:type="character" w:customStyle="1" w:styleId="BodyTextChar">
    <w:name w:val="Body Text Char"/>
    <w:basedOn w:val="DefaultParagraphFont"/>
    <w:link w:val="BodyText"/>
    <w:uiPriority w:val="1"/>
    <w:rsid w:val="003D559A"/>
    <w:rPr>
      <w:rFonts w:ascii="Arial" w:eastAsia="Arial" w:hAnsi="Arial" w:cs="Arial"/>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58247">
      <w:bodyDiv w:val="1"/>
      <w:marLeft w:val="0"/>
      <w:marRight w:val="0"/>
      <w:marTop w:val="0"/>
      <w:marBottom w:val="0"/>
      <w:divBdr>
        <w:top w:val="none" w:sz="0" w:space="0" w:color="auto"/>
        <w:left w:val="none" w:sz="0" w:space="0" w:color="auto"/>
        <w:bottom w:val="none" w:sz="0" w:space="0" w:color="auto"/>
        <w:right w:val="none" w:sz="0" w:space="0" w:color="auto"/>
      </w:divBdr>
    </w:div>
    <w:div w:id="460995704">
      <w:bodyDiv w:val="1"/>
      <w:marLeft w:val="0"/>
      <w:marRight w:val="0"/>
      <w:marTop w:val="0"/>
      <w:marBottom w:val="0"/>
      <w:divBdr>
        <w:top w:val="none" w:sz="0" w:space="0" w:color="auto"/>
        <w:left w:val="none" w:sz="0" w:space="0" w:color="auto"/>
        <w:bottom w:val="none" w:sz="0" w:space="0" w:color="auto"/>
        <w:right w:val="none" w:sz="0" w:space="0" w:color="auto"/>
      </w:divBdr>
    </w:div>
    <w:div w:id="493644409">
      <w:bodyDiv w:val="1"/>
      <w:marLeft w:val="0"/>
      <w:marRight w:val="0"/>
      <w:marTop w:val="0"/>
      <w:marBottom w:val="0"/>
      <w:divBdr>
        <w:top w:val="none" w:sz="0" w:space="0" w:color="auto"/>
        <w:left w:val="none" w:sz="0" w:space="0" w:color="auto"/>
        <w:bottom w:val="none" w:sz="0" w:space="0" w:color="auto"/>
        <w:right w:val="none" w:sz="0" w:space="0" w:color="auto"/>
      </w:divBdr>
    </w:div>
    <w:div w:id="554659328">
      <w:bodyDiv w:val="1"/>
      <w:marLeft w:val="0"/>
      <w:marRight w:val="0"/>
      <w:marTop w:val="0"/>
      <w:marBottom w:val="0"/>
      <w:divBdr>
        <w:top w:val="none" w:sz="0" w:space="0" w:color="auto"/>
        <w:left w:val="none" w:sz="0" w:space="0" w:color="auto"/>
        <w:bottom w:val="none" w:sz="0" w:space="0" w:color="auto"/>
        <w:right w:val="none" w:sz="0" w:space="0" w:color="auto"/>
      </w:divBdr>
    </w:div>
    <w:div w:id="614872967">
      <w:bodyDiv w:val="1"/>
      <w:marLeft w:val="0"/>
      <w:marRight w:val="0"/>
      <w:marTop w:val="0"/>
      <w:marBottom w:val="0"/>
      <w:divBdr>
        <w:top w:val="none" w:sz="0" w:space="0" w:color="auto"/>
        <w:left w:val="none" w:sz="0" w:space="0" w:color="auto"/>
        <w:bottom w:val="none" w:sz="0" w:space="0" w:color="auto"/>
        <w:right w:val="none" w:sz="0" w:space="0" w:color="auto"/>
      </w:divBdr>
    </w:div>
    <w:div w:id="819810128">
      <w:bodyDiv w:val="1"/>
      <w:marLeft w:val="0"/>
      <w:marRight w:val="0"/>
      <w:marTop w:val="0"/>
      <w:marBottom w:val="0"/>
      <w:divBdr>
        <w:top w:val="none" w:sz="0" w:space="0" w:color="auto"/>
        <w:left w:val="none" w:sz="0" w:space="0" w:color="auto"/>
        <w:bottom w:val="none" w:sz="0" w:space="0" w:color="auto"/>
        <w:right w:val="none" w:sz="0" w:space="0" w:color="auto"/>
      </w:divBdr>
    </w:div>
    <w:div w:id="850609937">
      <w:bodyDiv w:val="1"/>
      <w:marLeft w:val="0"/>
      <w:marRight w:val="0"/>
      <w:marTop w:val="0"/>
      <w:marBottom w:val="0"/>
      <w:divBdr>
        <w:top w:val="none" w:sz="0" w:space="0" w:color="auto"/>
        <w:left w:val="none" w:sz="0" w:space="0" w:color="auto"/>
        <w:bottom w:val="none" w:sz="0" w:space="0" w:color="auto"/>
        <w:right w:val="none" w:sz="0" w:space="0" w:color="auto"/>
      </w:divBdr>
    </w:div>
    <w:div w:id="957641085">
      <w:bodyDiv w:val="1"/>
      <w:marLeft w:val="0"/>
      <w:marRight w:val="0"/>
      <w:marTop w:val="0"/>
      <w:marBottom w:val="0"/>
      <w:divBdr>
        <w:top w:val="none" w:sz="0" w:space="0" w:color="auto"/>
        <w:left w:val="none" w:sz="0" w:space="0" w:color="auto"/>
        <w:bottom w:val="none" w:sz="0" w:space="0" w:color="auto"/>
        <w:right w:val="none" w:sz="0" w:space="0" w:color="auto"/>
      </w:divBdr>
    </w:div>
    <w:div w:id="1195921385">
      <w:bodyDiv w:val="1"/>
      <w:marLeft w:val="0"/>
      <w:marRight w:val="0"/>
      <w:marTop w:val="0"/>
      <w:marBottom w:val="0"/>
      <w:divBdr>
        <w:top w:val="none" w:sz="0" w:space="0" w:color="auto"/>
        <w:left w:val="none" w:sz="0" w:space="0" w:color="auto"/>
        <w:bottom w:val="none" w:sz="0" w:space="0" w:color="auto"/>
        <w:right w:val="none" w:sz="0" w:space="0" w:color="auto"/>
      </w:divBdr>
    </w:div>
    <w:div w:id="1259096133">
      <w:bodyDiv w:val="1"/>
      <w:marLeft w:val="0"/>
      <w:marRight w:val="0"/>
      <w:marTop w:val="0"/>
      <w:marBottom w:val="0"/>
      <w:divBdr>
        <w:top w:val="none" w:sz="0" w:space="0" w:color="auto"/>
        <w:left w:val="none" w:sz="0" w:space="0" w:color="auto"/>
        <w:bottom w:val="none" w:sz="0" w:space="0" w:color="auto"/>
        <w:right w:val="none" w:sz="0" w:space="0" w:color="auto"/>
      </w:divBdr>
    </w:div>
    <w:div w:id="1451896221">
      <w:bodyDiv w:val="1"/>
      <w:marLeft w:val="0"/>
      <w:marRight w:val="0"/>
      <w:marTop w:val="0"/>
      <w:marBottom w:val="0"/>
      <w:divBdr>
        <w:top w:val="none" w:sz="0" w:space="0" w:color="auto"/>
        <w:left w:val="none" w:sz="0" w:space="0" w:color="auto"/>
        <w:bottom w:val="none" w:sz="0" w:space="0" w:color="auto"/>
        <w:right w:val="none" w:sz="0" w:space="0" w:color="auto"/>
      </w:divBdr>
    </w:div>
    <w:div w:id="180296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2555</Words>
  <Characters>14568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Berkeley Research Group</Company>
  <LinksUpToDate>false</LinksUpToDate>
  <CharactersWithSpaces>17089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Redmon</dc:creator>
  <cp:keywords/>
  <dc:description/>
  <cp:lastModifiedBy>William Henderson</cp:lastModifiedBy>
  <cp:revision>10</cp:revision>
  <cp:lastPrinted>2023-03-21T18:54:00Z</cp:lastPrinted>
  <dcterms:created xsi:type="dcterms:W3CDTF">2023-06-02T12:48:00Z</dcterms:created>
  <dcterms:modified xsi:type="dcterms:W3CDTF">2023-06-02T12:54:00Z</dcterms:modified>
</cp:coreProperties>
</file>